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val="en-US" w:eastAsia="zh-CN"/>
        </w:rPr>
        <w:t xml:space="preserve">怀化开放大学         </w:t>
      </w:r>
      <w:r>
        <w:rPr>
          <w:rFonts w:hint="eastAsia"/>
          <w:b/>
          <w:bCs/>
          <w:szCs w:val="21"/>
        </w:rPr>
        <w:t>姓名：</w:t>
      </w:r>
      <w:r>
        <w:rPr>
          <w:rFonts w:hint="eastAsia"/>
          <w:b/>
          <w:bCs/>
          <w:szCs w:val="21"/>
          <w:lang w:val="en-US" w:eastAsia="zh-CN"/>
        </w:rPr>
        <w:t xml:space="preserve">肖卫         </w:t>
      </w:r>
      <w:r>
        <w:rPr>
          <w:rFonts w:hint="eastAsia"/>
          <w:b/>
          <w:bCs/>
          <w:szCs w:val="21"/>
        </w:rPr>
        <w:t>性别：</w:t>
      </w:r>
      <w:r>
        <w:rPr>
          <w:rFonts w:hint="eastAsia"/>
          <w:b/>
          <w:bCs/>
          <w:szCs w:val="21"/>
          <w:lang w:val="en-US" w:eastAsia="zh-CN"/>
        </w:rPr>
        <w:t xml:space="preserve">男         </w:t>
      </w:r>
      <w:r>
        <w:rPr>
          <w:rFonts w:hint="eastAsia"/>
          <w:b/>
          <w:bCs/>
          <w:szCs w:val="21"/>
        </w:rPr>
        <w:t>申报职称及类型：</w:t>
      </w:r>
      <w:r>
        <w:rPr>
          <w:rFonts w:hint="eastAsia"/>
          <w:b/>
          <w:bCs/>
          <w:szCs w:val="21"/>
          <w:lang w:val="en-US" w:eastAsia="zh-CN"/>
        </w:rPr>
        <w:t xml:space="preserve">教授、教学科研型         </w:t>
      </w:r>
      <w:r>
        <w:rPr>
          <w:rFonts w:hint="eastAsia"/>
          <w:b/>
          <w:bCs/>
          <w:szCs w:val="21"/>
        </w:rPr>
        <w:t>申报所属学科（专业）：</w:t>
      </w:r>
      <w:r>
        <w:rPr>
          <w:rFonts w:hint="eastAsia"/>
          <w:b/>
          <w:bCs/>
          <w:szCs w:val="21"/>
          <w:lang w:val="en-US" w:eastAsia="zh-CN"/>
        </w:rPr>
        <w:t xml:space="preserve">经济学          </w:t>
      </w:r>
      <w:r>
        <w:rPr>
          <w:rFonts w:hint="eastAsia"/>
          <w:b/>
          <w:bCs/>
          <w:szCs w:val="21"/>
        </w:rPr>
        <w:t>是否破格</w:t>
      </w:r>
      <w:r>
        <w:rPr>
          <w:rFonts w:hint="eastAsia"/>
          <w:b/>
          <w:bCs/>
          <w:szCs w:val="21"/>
          <w:lang w:eastAsia="zh-CN"/>
        </w:rPr>
        <w:t>、</w:t>
      </w:r>
      <w:r>
        <w:rPr>
          <w:rFonts w:hint="eastAsia"/>
          <w:b/>
          <w:bCs/>
          <w:szCs w:val="21"/>
          <w:lang w:val="en-US" w:eastAsia="zh-CN"/>
        </w:rPr>
        <w:t>绿色通道：否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363"/>
        <w:gridCol w:w="1200"/>
        <w:gridCol w:w="1450"/>
        <w:gridCol w:w="1270"/>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363" w:type="dxa"/>
            <w:vAlign w:val="center"/>
          </w:tcPr>
          <w:p w14:paraId="1503E5FE">
            <w:pPr>
              <w:adjustRightInd w:val="0"/>
              <w:snapToGrid w:val="0"/>
              <w:spacing w:line="276" w:lineRule="auto"/>
              <w:jc w:val="center"/>
              <w:rPr>
                <w:szCs w:val="21"/>
              </w:rPr>
            </w:pPr>
            <w:r>
              <w:rPr>
                <w:rFonts w:hint="eastAsia"/>
                <w:szCs w:val="21"/>
              </w:rPr>
              <w:t>毕业学校</w:t>
            </w:r>
          </w:p>
        </w:tc>
        <w:tc>
          <w:tcPr>
            <w:tcW w:w="1200" w:type="dxa"/>
            <w:vAlign w:val="center"/>
          </w:tcPr>
          <w:p w14:paraId="4D43762B">
            <w:pPr>
              <w:adjustRightInd w:val="0"/>
              <w:snapToGrid w:val="0"/>
              <w:spacing w:line="276" w:lineRule="auto"/>
              <w:jc w:val="center"/>
              <w:rPr>
                <w:szCs w:val="21"/>
              </w:rPr>
            </w:pPr>
            <w:r>
              <w:rPr>
                <w:rFonts w:hint="eastAsia"/>
                <w:szCs w:val="21"/>
              </w:rPr>
              <w:t>所学专业</w:t>
            </w:r>
          </w:p>
        </w:tc>
        <w:tc>
          <w:tcPr>
            <w:tcW w:w="1450" w:type="dxa"/>
            <w:vAlign w:val="center"/>
          </w:tcPr>
          <w:p w14:paraId="1CF84EDE">
            <w:pPr>
              <w:adjustRightInd w:val="0"/>
              <w:snapToGrid w:val="0"/>
              <w:spacing w:line="276" w:lineRule="auto"/>
              <w:jc w:val="center"/>
              <w:rPr>
                <w:szCs w:val="21"/>
              </w:rPr>
            </w:pPr>
            <w:r>
              <w:rPr>
                <w:rFonts w:hint="eastAsia"/>
                <w:szCs w:val="21"/>
              </w:rPr>
              <w:t>毕业时间</w:t>
            </w:r>
          </w:p>
        </w:tc>
        <w:tc>
          <w:tcPr>
            <w:tcW w:w="1270"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val="en-US" w:eastAsia="zh-CN"/>
              </w:rPr>
            </w:pPr>
            <w:r>
              <w:rPr>
                <w:rFonts w:hint="eastAsia"/>
                <w:szCs w:val="21"/>
                <w:lang w:val="en-US" w:eastAsia="zh-CN"/>
              </w:rPr>
              <w:t>研究员</w:t>
            </w:r>
          </w:p>
        </w:tc>
        <w:tc>
          <w:tcPr>
            <w:tcW w:w="1655"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2024年12月</w:t>
            </w:r>
          </w:p>
        </w:tc>
        <w:tc>
          <w:tcPr>
            <w:tcW w:w="1180" w:type="dxa"/>
            <w:vAlign w:val="center"/>
          </w:tcPr>
          <w:p w14:paraId="46F77FA5">
            <w:pPr>
              <w:adjustRightInd w:val="0"/>
              <w:snapToGrid w:val="0"/>
              <w:spacing w:line="276" w:lineRule="auto"/>
              <w:jc w:val="center"/>
              <w:rPr>
                <w:rFonts w:hint="eastAsia"/>
                <w:szCs w:val="21"/>
                <w:lang w:val="en-US" w:eastAsia="zh-CN"/>
              </w:rPr>
            </w:pPr>
            <w:r>
              <w:rPr>
                <w:rFonts w:hint="eastAsia"/>
                <w:szCs w:val="21"/>
                <w:lang w:val="en-US" w:eastAsia="zh-CN"/>
              </w:rPr>
              <w:t>博士</w:t>
            </w:r>
          </w:p>
          <w:p w14:paraId="226F5EBD">
            <w:pPr>
              <w:adjustRightInd w:val="0"/>
              <w:snapToGrid w:val="0"/>
              <w:spacing w:line="276" w:lineRule="auto"/>
              <w:jc w:val="center"/>
              <w:rPr>
                <w:rFonts w:hint="eastAsia" w:eastAsia="宋体"/>
                <w:szCs w:val="21"/>
                <w:lang w:val="en-US" w:eastAsia="zh-CN"/>
              </w:rPr>
            </w:pPr>
            <w:r>
              <w:rPr>
                <w:rFonts w:hint="eastAsia"/>
                <w:szCs w:val="21"/>
                <w:lang w:val="en-US" w:eastAsia="zh-CN"/>
              </w:rPr>
              <w:t>研究生</w:t>
            </w:r>
          </w:p>
        </w:tc>
        <w:tc>
          <w:tcPr>
            <w:tcW w:w="2363" w:type="dxa"/>
            <w:vAlign w:val="center"/>
          </w:tcPr>
          <w:p w14:paraId="021F323E">
            <w:pPr>
              <w:adjustRightInd w:val="0"/>
              <w:snapToGrid w:val="0"/>
              <w:spacing w:line="276" w:lineRule="auto"/>
              <w:jc w:val="center"/>
              <w:rPr>
                <w:rFonts w:hint="default" w:eastAsia="宋体"/>
                <w:szCs w:val="21"/>
                <w:lang w:val="en-US" w:eastAsia="zh-CN"/>
              </w:rPr>
            </w:pPr>
            <w:r>
              <w:rPr>
                <w:rFonts w:hint="eastAsia"/>
                <w:szCs w:val="21"/>
                <w:lang w:val="en-US" w:eastAsia="zh-CN"/>
              </w:rPr>
              <w:t>湖南农业大学</w:t>
            </w:r>
          </w:p>
        </w:tc>
        <w:tc>
          <w:tcPr>
            <w:tcW w:w="1200" w:type="dxa"/>
            <w:vAlign w:val="center"/>
          </w:tcPr>
          <w:p w14:paraId="0D1A0DCB">
            <w:pPr>
              <w:adjustRightInd w:val="0"/>
              <w:snapToGrid w:val="0"/>
              <w:spacing w:line="276" w:lineRule="auto"/>
              <w:jc w:val="center"/>
              <w:rPr>
                <w:rFonts w:hint="default" w:eastAsia="宋体"/>
                <w:szCs w:val="21"/>
                <w:lang w:val="en-US" w:eastAsia="zh-CN"/>
              </w:rPr>
            </w:pPr>
            <w:r>
              <w:rPr>
                <w:rFonts w:hint="eastAsia"/>
                <w:szCs w:val="21"/>
                <w:lang w:val="en-US" w:eastAsia="zh-CN"/>
              </w:rPr>
              <w:t>农业经济管理</w:t>
            </w:r>
          </w:p>
        </w:tc>
        <w:tc>
          <w:tcPr>
            <w:tcW w:w="1450"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2011年6月</w:t>
            </w:r>
          </w:p>
        </w:tc>
        <w:tc>
          <w:tcPr>
            <w:tcW w:w="1270" w:type="dxa"/>
            <w:vAlign w:val="center"/>
          </w:tcPr>
          <w:p w14:paraId="5A7CFCD9">
            <w:pPr>
              <w:adjustRightInd w:val="0"/>
              <w:snapToGrid w:val="0"/>
              <w:spacing w:line="276" w:lineRule="auto"/>
              <w:jc w:val="center"/>
              <w:rPr>
                <w:rFonts w:hint="eastAsia" w:eastAsia="宋体"/>
                <w:szCs w:val="21"/>
                <w:lang w:val="en-US" w:eastAsia="zh-CN"/>
              </w:rPr>
            </w:pPr>
            <w:r>
              <w:rPr>
                <w:rFonts w:hint="eastAsia"/>
                <w:szCs w:val="21"/>
                <w:lang w:val="en-US" w:eastAsia="zh-CN"/>
              </w:rPr>
              <w:t>博士</w:t>
            </w:r>
          </w:p>
        </w:tc>
        <w:tc>
          <w:tcPr>
            <w:tcW w:w="2201" w:type="dxa"/>
            <w:vAlign w:val="center"/>
          </w:tcPr>
          <w:p w14:paraId="58890F95">
            <w:pPr>
              <w:adjustRightInd w:val="0"/>
              <w:snapToGrid w:val="0"/>
              <w:spacing w:line="276" w:lineRule="auto"/>
              <w:jc w:val="center"/>
              <w:rPr>
                <w:rFonts w:hint="default" w:eastAsia="宋体"/>
                <w:szCs w:val="21"/>
                <w:lang w:val="en-US" w:eastAsia="zh-CN"/>
              </w:rPr>
            </w:pPr>
            <w:r>
              <w:rPr>
                <w:rFonts w:hint="eastAsia"/>
                <w:szCs w:val="21"/>
                <w:lang w:val="en-US" w:eastAsia="zh-CN"/>
              </w:rPr>
              <w:t>湖南农业大学</w:t>
            </w:r>
          </w:p>
        </w:tc>
        <w:tc>
          <w:tcPr>
            <w:tcW w:w="1186" w:type="dxa"/>
            <w:vAlign w:val="center"/>
          </w:tcPr>
          <w:p w14:paraId="16C4107A">
            <w:pPr>
              <w:adjustRightInd w:val="0"/>
              <w:snapToGrid w:val="0"/>
              <w:spacing w:line="276" w:lineRule="auto"/>
              <w:jc w:val="center"/>
              <w:rPr>
                <w:rFonts w:hint="default" w:eastAsia="宋体"/>
                <w:szCs w:val="21"/>
                <w:lang w:val="en-US" w:eastAsia="zh-CN"/>
              </w:rPr>
            </w:pPr>
            <w:r>
              <w:rPr>
                <w:rFonts w:hint="eastAsia"/>
                <w:szCs w:val="21"/>
                <w:lang w:val="en-US" w:eastAsia="zh-CN"/>
              </w:rPr>
              <w:t>农业经济管理</w:t>
            </w:r>
          </w:p>
        </w:tc>
        <w:tc>
          <w:tcPr>
            <w:tcW w:w="1247" w:type="dxa"/>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2011年6月</w:t>
            </w:r>
          </w:p>
        </w:tc>
        <w:tc>
          <w:tcPr>
            <w:tcW w:w="3258" w:type="dxa"/>
            <w:gridSpan w:val="3"/>
            <w:vAlign w:val="center"/>
          </w:tcPr>
          <w:p w14:paraId="4FA86394">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000000" w:themeColor="text1"/>
                <w:szCs w:val="21"/>
                <w:lang w:val="en-US" w:eastAsia="zh-CN"/>
                <w14:textFill>
                  <w14:solidFill>
                    <w14:schemeClr w14:val="tx1"/>
                  </w14:solidFill>
                </w14:textFill>
              </w:rPr>
              <w:t>经济学、管理学教学科研</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45B5723A">
            <w:pPr>
              <w:adjustRightInd w:val="0"/>
              <w:snapToGrid w:val="0"/>
              <w:spacing w:line="276" w:lineRule="auto"/>
              <w:ind w:firstLine="630" w:firstLineChars="300"/>
              <w:rPr>
                <w:rFonts w:hint="eastAsia"/>
                <w:color w:val="auto"/>
                <w:szCs w:val="21"/>
                <w:lang w:val="en-US" w:eastAsia="zh-CN"/>
              </w:rPr>
            </w:pPr>
            <w:r>
              <w:rPr>
                <w:rFonts w:hint="eastAsia"/>
                <w:color w:val="auto"/>
                <w:szCs w:val="21"/>
                <w:lang w:val="en-US" w:eastAsia="zh-CN"/>
              </w:rPr>
              <w:t>无</w:t>
            </w:r>
          </w:p>
        </w:tc>
        <w:tc>
          <w:tcPr>
            <w:tcW w:w="1200" w:type="dxa"/>
            <w:vAlign w:val="center"/>
          </w:tcPr>
          <w:p w14:paraId="0068EE75">
            <w:pPr>
              <w:adjustRightInd w:val="0"/>
              <w:snapToGrid w:val="0"/>
              <w:spacing w:line="276" w:lineRule="auto"/>
              <w:jc w:val="center"/>
              <w:rPr>
                <w:szCs w:val="21"/>
              </w:rPr>
            </w:pP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7FF19BDE">
            <w:pPr>
              <w:adjustRightInd w:val="0"/>
              <w:snapToGrid w:val="0"/>
              <w:spacing w:line="276" w:lineRule="auto"/>
              <w:ind w:firstLine="630" w:firstLineChars="300"/>
              <w:rPr>
                <w:rFonts w:hint="eastAsia"/>
                <w:color w:val="auto"/>
                <w:szCs w:val="21"/>
                <w:lang w:val="en-US" w:eastAsia="zh-CN"/>
              </w:rPr>
            </w:pPr>
            <w:r>
              <w:rPr>
                <w:rFonts w:hint="eastAsia"/>
                <w:color w:val="auto"/>
                <w:szCs w:val="21"/>
                <w:lang w:val="en-US" w:eastAsia="zh-CN"/>
              </w:rPr>
              <w:t>无</w:t>
            </w:r>
          </w:p>
        </w:tc>
        <w:tc>
          <w:tcPr>
            <w:tcW w:w="1200" w:type="dxa"/>
            <w:vAlign w:val="center"/>
          </w:tcPr>
          <w:p w14:paraId="3E8B912A">
            <w:pPr>
              <w:adjustRightInd w:val="0"/>
              <w:snapToGrid w:val="0"/>
              <w:spacing w:line="276" w:lineRule="auto"/>
              <w:jc w:val="center"/>
              <w:rPr>
                <w:szCs w:val="21"/>
              </w:rPr>
            </w:pP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195FBA70">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202</w:t>
            </w:r>
            <w:r>
              <w:rPr>
                <w:rFonts w:hint="eastAsia"/>
                <w:color w:val="auto"/>
                <w:szCs w:val="21"/>
                <w:lang w:val="en-US" w:eastAsia="zh-CN"/>
              </w:rPr>
              <w:t>4</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val="en-US" w:eastAsia="zh-CN"/>
              </w:rPr>
              <w:t>招生先进个人</w:t>
            </w:r>
            <w:r>
              <w:rPr>
                <w:rFonts w:hint="eastAsia"/>
                <w:color w:val="auto"/>
                <w:szCs w:val="21"/>
              </w:rPr>
              <w:t>，</w:t>
            </w:r>
            <w:r>
              <w:rPr>
                <w:rFonts w:hint="eastAsia"/>
                <w:color w:val="auto"/>
                <w:szCs w:val="21"/>
                <w:lang w:eastAsia="zh-CN"/>
              </w:rPr>
              <w:t>湖南开放大学</w:t>
            </w:r>
            <w:r>
              <w:rPr>
                <w:rFonts w:hint="eastAsia"/>
                <w:color w:val="auto"/>
                <w:szCs w:val="21"/>
              </w:rPr>
              <w:t>，计</w:t>
            </w:r>
            <w:r>
              <w:rPr>
                <w:rFonts w:hint="eastAsia"/>
                <w:color w:val="auto"/>
                <w:szCs w:val="21"/>
                <w:lang w:val="en-US" w:eastAsia="zh-CN"/>
              </w:rPr>
              <w:t>4</w:t>
            </w:r>
            <w:r>
              <w:rPr>
                <w:rFonts w:hint="eastAsia"/>
                <w:color w:val="auto"/>
                <w:szCs w:val="21"/>
              </w:rPr>
              <w:t>分；</w:t>
            </w:r>
          </w:p>
          <w:p w14:paraId="6F424C7D">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2）2024年12月，教育部“一村一名大学生”优秀研究成果奖，国家开放大学，计4分；</w:t>
            </w:r>
          </w:p>
        </w:tc>
        <w:tc>
          <w:tcPr>
            <w:tcW w:w="1200" w:type="dxa"/>
            <w:vAlign w:val="center"/>
          </w:tcPr>
          <w:p w14:paraId="650AE249">
            <w:pPr>
              <w:adjustRightInd w:val="0"/>
              <w:snapToGrid w:val="0"/>
              <w:spacing w:line="276" w:lineRule="auto"/>
              <w:jc w:val="center"/>
              <w:rPr>
                <w:rFonts w:hint="eastAsia" w:eastAsia="宋体"/>
                <w:szCs w:val="21"/>
                <w:lang w:val="en-US" w:eastAsia="zh-CN"/>
              </w:rPr>
            </w:pPr>
            <w:r>
              <w:rPr>
                <w:rFonts w:hint="eastAsia"/>
                <w:szCs w:val="21"/>
                <w:lang w:val="en-US" w:eastAsia="zh-CN"/>
              </w:rPr>
              <w:t>8</w:t>
            </w: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6221E850">
            <w:pPr>
              <w:adjustRightInd w:val="0"/>
              <w:snapToGrid w:val="0"/>
              <w:spacing w:line="276" w:lineRule="auto"/>
              <w:ind w:firstLine="630" w:firstLineChars="300"/>
              <w:rPr>
                <w:rFonts w:hint="default"/>
                <w:color w:val="000000" w:themeColor="text1"/>
                <w:szCs w:val="21"/>
                <w:lang w:val="en-US"/>
                <w14:textFill>
                  <w14:solidFill>
                    <w14:schemeClr w14:val="tx1"/>
                  </w14:solidFill>
                </w14:textFill>
              </w:rPr>
            </w:pPr>
            <w:r>
              <w:rPr>
                <w:rFonts w:hint="eastAsia"/>
                <w:color w:val="auto"/>
                <w:szCs w:val="21"/>
                <w:lang w:val="en-US" w:eastAsia="zh-CN"/>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46483418">
            <w:pPr>
              <w:adjustRightInd w:val="0"/>
              <w:snapToGrid w:val="0"/>
              <w:spacing w:line="276" w:lineRule="auto"/>
              <w:ind w:firstLine="630" w:firstLineChars="300"/>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5771B80E">
            <w:p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1）2021年年度考核优秀，计1分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1CEDBFDB">
            <w:pPr>
              <w:adjustRightInd w:val="0"/>
              <w:snapToGrid w:val="0"/>
              <w:spacing w:line="276" w:lineRule="auto"/>
              <w:rPr>
                <w:rFonts w:hint="default"/>
                <w:b w:val="0"/>
                <w:bCs w:val="0"/>
                <w:color w:val="FF0000"/>
                <w:vertAlign w:val="baseline"/>
                <w:lang w:val="en-US" w:eastAsia="zh-CN"/>
              </w:rPr>
            </w:pPr>
            <w:r>
              <w:rPr>
                <w:rFonts w:hint="eastAsia" w:eastAsia="宋体"/>
                <w:b w:val="0"/>
                <w:bCs w:val="0"/>
                <w:color w:val="auto"/>
                <w:vertAlign w:val="baseline"/>
                <w:lang w:val="en-US" w:eastAsia="zh-CN"/>
              </w:rPr>
              <w:t>1）20</w:t>
            </w:r>
            <w:r>
              <w:rPr>
                <w:rFonts w:hint="eastAsia"/>
                <w:b w:val="0"/>
                <w:bCs w:val="0"/>
                <w:color w:val="auto"/>
                <w:vertAlign w:val="baseline"/>
                <w:lang w:val="en-US" w:eastAsia="zh-CN"/>
              </w:rPr>
              <w:t>11</w:t>
            </w:r>
            <w:r>
              <w:rPr>
                <w:rFonts w:hint="eastAsia" w:eastAsia="宋体"/>
                <w:b w:val="0"/>
                <w:bCs w:val="0"/>
                <w:color w:val="auto"/>
                <w:vertAlign w:val="baseline"/>
                <w:lang w:val="en-US" w:eastAsia="zh-CN"/>
              </w:rPr>
              <w:t>年获得湖南</w:t>
            </w:r>
            <w:r>
              <w:rPr>
                <w:rFonts w:hint="eastAsia"/>
                <w:b w:val="0"/>
                <w:bCs w:val="0"/>
                <w:color w:val="auto"/>
                <w:vertAlign w:val="baseline"/>
                <w:lang w:val="en-US" w:eastAsia="zh-CN"/>
              </w:rPr>
              <w:t>农业</w:t>
            </w:r>
            <w:r>
              <w:rPr>
                <w:rFonts w:hint="eastAsia" w:eastAsia="宋体"/>
                <w:b w:val="0"/>
                <w:bCs w:val="0"/>
                <w:color w:val="auto"/>
                <w:vertAlign w:val="baseline"/>
                <w:lang w:val="en-US" w:eastAsia="zh-CN"/>
              </w:rPr>
              <w:t>大学博士学历学位，计15分</w:t>
            </w:r>
          </w:p>
        </w:tc>
        <w:tc>
          <w:tcPr>
            <w:tcW w:w="1200" w:type="dxa"/>
            <w:vAlign w:val="center"/>
          </w:tcPr>
          <w:p w14:paraId="0A370D9B">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Align w:val="center"/>
          </w:tcPr>
          <w:p w14:paraId="218C385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1A62189A">
            <w:pPr>
              <w:adjustRightInd w:val="0"/>
              <w:snapToGrid w:val="0"/>
              <w:spacing w:line="276" w:lineRule="auto"/>
              <w:ind w:firstLine="630" w:firstLineChars="300"/>
              <w:rPr>
                <w:rFonts w:hint="default" w:eastAsia="宋体"/>
                <w:color w:val="4F81BD" w:themeColor="accent1"/>
                <w:szCs w:val="21"/>
                <w:lang w:val="en-US" w:eastAsia="zh-CN"/>
                <w14:textFill>
                  <w14:solidFill>
                    <w14:schemeClr w14:val="accent1"/>
                  </w14:solidFill>
                </w14:textFill>
              </w:rPr>
            </w:pPr>
            <w:r>
              <w:rPr>
                <w:rFonts w:hint="eastAsia"/>
                <w:color w:val="auto"/>
                <w:szCs w:val="21"/>
                <w:lang w:val="en-US" w:eastAsia="zh-CN"/>
              </w:rPr>
              <w:t>无</w:t>
            </w:r>
          </w:p>
        </w:tc>
        <w:tc>
          <w:tcPr>
            <w:tcW w:w="1200" w:type="dxa"/>
            <w:vAlign w:val="center"/>
          </w:tcPr>
          <w:p w14:paraId="5983BF1A">
            <w:pPr>
              <w:adjustRightInd w:val="0"/>
              <w:snapToGrid w:val="0"/>
              <w:spacing w:line="276" w:lineRule="auto"/>
              <w:jc w:val="center"/>
              <w:rPr>
                <w:szCs w:val="21"/>
              </w:rPr>
            </w:pP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70BD7A2E">
            <w:pPr>
              <w:adjustRightInd w:val="0"/>
              <w:snapToGrid w:val="0"/>
              <w:spacing w:line="276" w:lineRule="auto"/>
              <w:ind w:firstLine="630" w:firstLineChars="300"/>
              <w:rPr>
                <w:rFonts w:hint="default" w:eastAsia="宋体"/>
                <w:color w:val="4F81BD" w:themeColor="accent1"/>
                <w:szCs w:val="21"/>
                <w:lang w:val="en-US" w:eastAsia="zh-CN"/>
                <w14:textFill>
                  <w14:solidFill>
                    <w14:schemeClr w14:val="accent1"/>
                  </w14:solidFill>
                </w14:textFill>
              </w:rPr>
            </w:pPr>
            <w:r>
              <w:rPr>
                <w:rFonts w:hint="eastAsia"/>
                <w:color w:val="auto"/>
                <w:szCs w:val="21"/>
                <w:lang w:val="en-US" w:eastAsia="zh-CN"/>
              </w:rPr>
              <w:t>无</w:t>
            </w:r>
          </w:p>
        </w:tc>
        <w:tc>
          <w:tcPr>
            <w:tcW w:w="1200" w:type="dxa"/>
            <w:vAlign w:val="center"/>
          </w:tcPr>
          <w:p w14:paraId="7F053BD7">
            <w:pPr>
              <w:adjustRightInd w:val="0"/>
              <w:snapToGrid w:val="0"/>
              <w:spacing w:line="276" w:lineRule="auto"/>
              <w:jc w:val="center"/>
              <w:rPr>
                <w:szCs w:val="21"/>
              </w:rPr>
            </w:pP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60366918">
            <w:pPr>
              <w:adjustRightInd w:val="0"/>
              <w:snapToGrid w:val="0"/>
              <w:spacing w:line="276" w:lineRule="auto"/>
              <w:ind w:firstLine="630" w:firstLineChars="300"/>
              <w:rPr>
                <w:rFonts w:hint="default" w:eastAsia="宋体"/>
                <w:b w:val="0"/>
                <w:bCs w:val="0"/>
                <w:color w:val="auto"/>
                <w:vertAlign w:val="baseline"/>
                <w:lang w:val="en-US" w:eastAsia="zh-CN"/>
              </w:rPr>
            </w:pPr>
            <w:r>
              <w:rPr>
                <w:rFonts w:hint="eastAsia"/>
                <w:b w:val="0"/>
                <w:bCs w:val="0"/>
                <w:color w:val="auto"/>
                <w:vertAlign w:val="baseline"/>
                <w:lang w:val="en-US" w:eastAsia="zh-CN"/>
              </w:rPr>
              <w:t>无</w:t>
            </w:r>
          </w:p>
        </w:tc>
        <w:tc>
          <w:tcPr>
            <w:tcW w:w="1200" w:type="dxa"/>
            <w:vAlign w:val="center"/>
          </w:tcPr>
          <w:p w14:paraId="3314DA1D">
            <w:pPr>
              <w:adjustRightInd w:val="0"/>
              <w:snapToGrid w:val="0"/>
              <w:spacing w:line="276" w:lineRule="auto"/>
              <w:jc w:val="center"/>
              <w:rPr>
                <w:szCs w:val="21"/>
              </w:rPr>
            </w:pP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02956716">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2023年11月至2024年1月，课堂教学时量43，实践教学时量40，计83课时；</w:t>
            </w:r>
          </w:p>
          <w:p w14:paraId="0C7462F8">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2024年1月至2024年12月，课堂教学时量116，实践教学时量156，计272课时；</w:t>
            </w:r>
          </w:p>
          <w:p w14:paraId="4BD7E32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2025年1月至2025年9月，课堂教学时量78，实践教学时量56，计134课时。</w:t>
            </w:r>
          </w:p>
        </w:tc>
        <w:tc>
          <w:tcPr>
            <w:tcW w:w="1200" w:type="dxa"/>
            <w:vAlign w:val="center"/>
          </w:tcPr>
          <w:p w14:paraId="27122FCF">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2.4</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62646DE5">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1）2007年7月至2016年8月，湖南省社会科学院从事社科研究工作；</w:t>
            </w:r>
          </w:p>
          <w:p w14:paraId="4FA263F2">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2）2016年8月至2020年5月，新晃侗族自治县人民政府党组成员、副县长；</w:t>
            </w:r>
          </w:p>
          <w:p w14:paraId="084A7B3D">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3）2020年5月-2023年10月，</w:t>
            </w:r>
            <w:r>
              <w:rPr>
                <w:rFonts w:hint="eastAsia" w:ascii="方正书宋简体" w:hAnsi="方正书宋简体" w:eastAsia="方正书宋简体" w:cs="方正书宋简体"/>
                <w:lang w:eastAsia="zh-CN"/>
              </w:rPr>
              <w:t>中方县委、县政府常委、统战部长，常务副县长</w:t>
            </w:r>
          </w:p>
          <w:p w14:paraId="51ABE967">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3）2023年10月至今，怀化开放大学副党委副书记、校长（副研究员）。从事教育教学工作，满5年，计5分；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3D32989">
            <w:pPr>
              <w:adjustRightInd w:val="0"/>
              <w:snapToGrid w:val="0"/>
              <w:spacing w:line="276" w:lineRule="auto"/>
              <w:ind w:firstLine="630" w:firstLineChars="300"/>
              <w:rPr>
                <w:rFonts w:hint="default"/>
                <w:b/>
                <w:bCs/>
                <w:vertAlign w:val="baseline"/>
                <w:lang w:val="en-US" w:eastAsia="zh-CN"/>
              </w:rPr>
            </w:pPr>
            <w:r>
              <w:rPr>
                <w:rFonts w:hint="eastAsia" w:ascii="Times New Roman" w:hAnsi="Times New Roman" w:cs="Times New Roman"/>
                <w:color w:val="000000" w:themeColor="text1"/>
                <w:szCs w:val="21"/>
                <w:lang w:val="en-US" w:eastAsia="zh-CN"/>
                <w14:textFill>
                  <w14:solidFill>
                    <w14:schemeClr w14:val="tx1"/>
                  </w14:solidFill>
                </w14:textFill>
              </w:rPr>
              <w:t>无</w:t>
            </w:r>
          </w:p>
        </w:tc>
        <w:tc>
          <w:tcPr>
            <w:tcW w:w="1200" w:type="dxa"/>
            <w:vAlign w:val="center"/>
          </w:tcPr>
          <w:p w14:paraId="4271D181">
            <w:pPr>
              <w:adjustRightInd w:val="0"/>
              <w:snapToGrid w:val="0"/>
              <w:spacing w:line="276" w:lineRule="auto"/>
              <w:jc w:val="center"/>
              <w:rPr>
                <w:rFonts w:hint="eastAsia" w:eastAsia="宋体"/>
                <w:szCs w:val="21"/>
                <w:lang w:val="en-US" w:eastAsia="zh-CN"/>
              </w:rPr>
            </w:pP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47CF6512">
            <w:pPr>
              <w:adjustRightInd w:val="0"/>
              <w:snapToGrid w:val="0"/>
              <w:spacing w:line="276" w:lineRule="auto"/>
              <w:ind w:firstLine="630" w:firstLineChars="300"/>
              <w:rPr>
                <w:rFonts w:hint="eastAsia"/>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无</w:t>
            </w:r>
          </w:p>
        </w:tc>
        <w:tc>
          <w:tcPr>
            <w:tcW w:w="1200" w:type="dxa"/>
            <w:vAlign w:val="center"/>
          </w:tcPr>
          <w:p w14:paraId="5ED2C39F">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32BECF88">
            <w:pPr>
              <w:adjustRightInd w:val="0"/>
              <w:snapToGrid w:val="0"/>
              <w:spacing w:line="276" w:lineRule="auto"/>
              <w:ind w:firstLine="630" w:firstLineChars="300"/>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5C54E11E">
            <w:pPr>
              <w:adjustRightInd w:val="0"/>
              <w:snapToGrid w:val="0"/>
              <w:spacing w:line="276" w:lineRule="auto"/>
              <w:ind w:firstLine="630" w:firstLineChars="300"/>
              <w:rPr>
                <w:rFonts w:hint="default"/>
                <w:b/>
                <w:bCs/>
                <w:color w:val="000000" w:themeColor="text1"/>
                <w:szCs w:val="21"/>
                <w:lang w:val="en-US"/>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4FC1C855">
            <w:pPr>
              <w:adjustRightInd w:val="0"/>
              <w:snapToGrid w:val="0"/>
              <w:spacing w:line="276" w:lineRule="auto"/>
              <w:ind w:firstLine="630" w:firstLineChars="3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DE37CEA">
            <w:pPr>
              <w:adjustRightInd w:val="0"/>
              <w:snapToGrid w:val="0"/>
              <w:spacing w:line="276" w:lineRule="auto"/>
              <w:jc w:val="center"/>
              <w:rPr>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3FBA204E">
            <w:pPr>
              <w:adjustRightInd w:val="0"/>
              <w:snapToGrid w:val="0"/>
              <w:spacing w:line="276" w:lineRule="auto"/>
              <w:ind w:firstLine="630" w:firstLineChars="3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1AFB90F9">
            <w:pPr>
              <w:adjustRightInd w:val="0"/>
              <w:snapToGrid w:val="0"/>
              <w:spacing w:line="276" w:lineRule="auto"/>
              <w:ind w:firstLine="630" w:firstLineChars="3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7797822E">
            <w:pPr>
              <w:adjustRightInd w:val="0"/>
              <w:snapToGrid w:val="0"/>
              <w:spacing w:line="276" w:lineRule="auto"/>
              <w:ind w:firstLine="630" w:firstLineChars="3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7845ABC6">
            <w:pPr>
              <w:adjustRightInd w:val="0"/>
              <w:snapToGrid w:val="0"/>
              <w:spacing w:line="276" w:lineRule="auto"/>
              <w:ind w:firstLine="630" w:firstLineChars="3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564ED9C6">
            <w:pPr>
              <w:adjustRightInd w:val="0"/>
              <w:snapToGrid w:val="0"/>
              <w:spacing w:line="276" w:lineRule="auto"/>
              <w:ind w:firstLine="630" w:firstLineChars="3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5B13E1A4">
            <w:pPr>
              <w:adjustRightInd w:val="0"/>
              <w:snapToGrid w:val="0"/>
              <w:spacing w:line="276" w:lineRule="auto"/>
              <w:jc w:val="center"/>
              <w:rPr>
                <w:szCs w:val="21"/>
              </w:rPr>
            </w:pP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0C97EAFB">
            <w:pPr>
              <w:adjustRightInd w:val="0"/>
              <w:snapToGrid w:val="0"/>
              <w:spacing w:line="276" w:lineRule="auto"/>
              <w:ind w:firstLine="630" w:firstLineChars="300"/>
              <w:rPr>
                <w:rFonts w:hint="eastAsia" w:eastAsia="宋体"/>
                <w:color w:val="4F81BD" w:themeColor="accent1"/>
                <w:szCs w:val="21"/>
                <w:lang w:val="en-US" w:eastAsia="zh-CN"/>
                <w14:textFill>
                  <w14:solidFill>
                    <w14:schemeClr w14:val="accent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4098A96">
            <w:pPr>
              <w:adjustRightInd w:val="0"/>
              <w:snapToGrid w:val="0"/>
              <w:spacing w:line="276" w:lineRule="auto"/>
              <w:jc w:val="center"/>
              <w:rPr>
                <w:rFonts w:hint="eastAsia" w:eastAsia="宋体"/>
                <w:szCs w:val="21"/>
                <w:lang w:eastAsia="zh-CN"/>
              </w:rPr>
            </w:pP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5F421F0">
            <w:pPr>
              <w:adjustRightInd w:val="0"/>
              <w:snapToGrid w:val="0"/>
              <w:spacing w:line="276" w:lineRule="auto"/>
              <w:ind w:firstLine="630" w:firstLineChars="3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66429EF">
            <w:pPr>
              <w:adjustRightInd w:val="0"/>
              <w:snapToGrid w:val="0"/>
              <w:spacing w:line="276" w:lineRule="auto"/>
              <w:jc w:val="center"/>
              <w:rPr>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320942E">
            <w:pPr>
              <w:adjustRightInd w:val="0"/>
              <w:snapToGrid w:val="0"/>
              <w:spacing w:line="276" w:lineRule="auto"/>
              <w:ind w:firstLine="630" w:firstLineChars="3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15CE25DF">
            <w:pPr>
              <w:adjustRightInd w:val="0"/>
              <w:snapToGrid w:val="0"/>
              <w:spacing w:line="276" w:lineRule="auto"/>
              <w:jc w:val="center"/>
              <w:rPr>
                <w:szCs w:val="21"/>
              </w:rPr>
            </w:pPr>
          </w:p>
        </w:tc>
        <w:tc>
          <w:tcPr>
            <w:tcW w:w="1274" w:type="dxa"/>
            <w:vMerge w:val="restart"/>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2278B36C">
            <w:pPr>
              <w:adjustRightInd w:val="0"/>
              <w:snapToGrid w:val="0"/>
              <w:spacing w:line="276" w:lineRule="auto"/>
              <w:ind w:firstLine="630" w:firstLineChars="3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45C5967A">
            <w:pPr>
              <w:adjustRightInd w:val="0"/>
              <w:snapToGrid w:val="0"/>
              <w:spacing w:line="276" w:lineRule="auto"/>
              <w:jc w:val="center"/>
              <w:rPr>
                <w:szCs w:val="21"/>
              </w:rPr>
            </w:pPr>
          </w:p>
        </w:tc>
        <w:tc>
          <w:tcPr>
            <w:tcW w:w="1274" w:type="dxa"/>
            <w:vMerge w:val="continue"/>
            <w:vAlign w:val="center"/>
          </w:tcPr>
          <w:p w14:paraId="4AF7D7B5">
            <w:pPr>
              <w:adjustRightInd w:val="0"/>
              <w:snapToGrid w:val="0"/>
              <w:spacing w:line="276" w:lineRule="auto"/>
              <w:jc w:val="center"/>
              <w:rPr>
                <w:color w:val="auto"/>
                <w:szCs w:val="21"/>
              </w:rPr>
            </w:pP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25EF2669">
            <w:pPr>
              <w:adjustRightInd w:val="0"/>
              <w:snapToGrid w:val="0"/>
              <w:spacing w:line="276" w:lineRule="auto"/>
              <w:ind w:firstLine="630" w:firstLineChars="3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9227B63">
            <w:pPr>
              <w:adjustRightInd w:val="0"/>
              <w:snapToGrid w:val="0"/>
              <w:spacing w:line="276" w:lineRule="auto"/>
              <w:jc w:val="center"/>
              <w:rPr>
                <w:szCs w:val="21"/>
              </w:rPr>
            </w:pPr>
          </w:p>
        </w:tc>
        <w:tc>
          <w:tcPr>
            <w:tcW w:w="1274" w:type="dxa"/>
            <w:vMerge w:val="continue"/>
            <w:vAlign w:val="center"/>
          </w:tcPr>
          <w:p w14:paraId="7B87ECAA">
            <w:pPr>
              <w:adjustRightInd w:val="0"/>
              <w:snapToGrid w:val="0"/>
              <w:spacing w:line="276" w:lineRule="auto"/>
              <w:jc w:val="center"/>
              <w:rPr>
                <w:color w:val="auto"/>
                <w:szCs w:val="21"/>
              </w:rPr>
            </w:pP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12DCCF1">
            <w:pPr>
              <w:adjustRightInd w:val="0"/>
              <w:snapToGrid w:val="0"/>
              <w:spacing w:line="276" w:lineRule="auto"/>
              <w:ind w:firstLine="630" w:firstLineChars="3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67755DF1">
            <w:pPr>
              <w:adjustRightInd w:val="0"/>
              <w:snapToGrid w:val="0"/>
              <w:spacing w:line="276" w:lineRule="auto"/>
              <w:jc w:val="center"/>
              <w:rPr>
                <w:szCs w:val="21"/>
              </w:rPr>
            </w:pPr>
          </w:p>
        </w:tc>
        <w:tc>
          <w:tcPr>
            <w:tcW w:w="1274" w:type="dxa"/>
            <w:vMerge w:val="continue"/>
            <w:vAlign w:val="center"/>
          </w:tcPr>
          <w:p w14:paraId="28364C51">
            <w:pPr>
              <w:adjustRightInd w:val="0"/>
              <w:snapToGrid w:val="0"/>
              <w:spacing w:line="276" w:lineRule="auto"/>
              <w:jc w:val="center"/>
              <w:rPr>
                <w:color w:val="auto"/>
                <w:szCs w:val="21"/>
              </w:rPr>
            </w:pP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eastAsia="宋体"/>
                <w:color w:val="auto"/>
                <w:szCs w:val="21"/>
                <w:lang w:val="en-US" w:eastAsia="zh-CN"/>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78EE2103">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肖卫：《“湖南农民大学生培养计划”赋能乡村振兴》，《经济要参》2024年第29期（中央一级内刊），</w:t>
            </w:r>
            <w:r>
              <w:rPr>
                <w:rFonts w:hint="eastAsia"/>
                <w:color w:val="000000" w:themeColor="text1"/>
                <w:szCs w:val="21"/>
                <w:lang w:val="en-US" w:eastAsia="zh-CN"/>
                <w14:textFill>
                  <w14:solidFill>
                    <w14:schemeClr w14:val="tx1"/>
                  </w14:solidFill>
                </w14:textFill>
              </w:rPr>
              <w:t>计5分</w:t>
            </w:r>
            <w:r>
              <w:rPr>
                <w:rFonts w:hint="default"/>
                <w:color w:val="000000" w:themeColor="text1"/>
                <w:szCs w:val="21"/>
                <w:lang w:val="en-US" w:eastAsia="zh-CN"/>
                <w14:textFill>
                  <w14:solidFill>
                    <w14:schemeClr w14:val="tx1"/>
                  </w14:solidFill>
                </w14:textFill>
              </w:rPr>
              <w:t>；</w:t>
            </w:r>
          </w:p>
          <w:p w14:paraId="570B5E94">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w:t>
            </w:r>
            <w:r>
              <w:rPr>
                <w:rFonts w:hint="eastAsia"/>
                <w:kern w:val="0"/>
                <w:szCs w:val="21"/>
              </w:rPr>
              <w:t>《百年党史彰显统一战线的高度、广度和力度》</w:t>
            </w:r>
            <w:r>
              <w:rPr>
                <w:rFonts w:hint="eastAsia"/>
                <w:color w:val="000000" w:themeColor="text1"/>
                <w:szCs w:val="21"/>
                <w:lang w:val="en-US" w:eastAsia="zh-CN"/>
                <w14:textFill>
                  <w14:solidFill>
                    <w14:schemeClr w14:val="tx1"/>
                  </w14:solidFill>
                </w14:textFill>
              </w:rPr>
              <w:t>，</w:t>
            </w:r>
            <w:r>
              <w:rPr>
                <w:rFonts w:hint="eastAsia"/>
                <w:kern w:val="0"/>
                <w:szCs w:val="21"/>
              </w:rPr>
              <w:t>《湖南日报》理论版</w:t>
            </w:r>
            <w:r>
              <w:rPr>
                <w:rFonts w:hint="eastAsia"/>
                <w:color w:val="000000" w:themeColor="text1"/>
                <w:szCs w:val="21"/>
                <w:lang w:val="en-US" w:eastAsia="zh-CN"/>
                <w14:textFill>
                  <w14:solidFill>
                    <w14:schemeClr w14:val="tx1"/>
                  </w14:solidFill>
                </w14:textFill>
              </w:rPr>
              <w:t>2021年5月，计40分；</w:t>
            </w:r>
          </w:p>
          <w:p w14:paraId="3011615B">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w:t>
            </w:r>
            <w:r>
              <w:rPr>
                <w:rFonts w:hint="eastAsia"/>
                <w:kern w:val="0"/>
                <w:szCs w:val="21"/>
              </w:rPr>
              <w:t>《以协同创新引领县域经济数字化转型》</w:t>
            </w:r>
            <w:r>
              <w:rPr>
                <w:rFonts w:hint="eastAsia"/>
                <w:color w:val="000000" w:themeColor="text1"/>
                <w:szCs w:val="21"/>
                <w:lang w:val="en-US" w:eastAsia="zh-CN"/>
                <w14:textFill>
                  <w14:solidFill>
                    <w14:schemeClr w14:val="tx1"/>
                  </w14:solidFill>
                </w14:textFill>
              </w:rPr>
              <w:t>，</w:t>
            </w:r>
            <w:r>
              <w:rPr>
                <w:rFonts w:hint="eastAsia"/>
                <w:kern w:val="0"/>
                <w:szCs w:val="21"/>
              </w:rPr>
              <w:t>《湖南日报》理论版</w:t>
            </w:r>
            <w:r>
              <w:rPr>
                <w:rFonts w:hint="eastAsia"/>
                <w:color w:val="000000" w:themeColor="text1"/>
                <w:szCs w:val="21"/>
                <w:lang w:val="en-US" w:eastAsia="zh-CN"/>
                <w14:textFill>
                  <w14:solidFill>
                    <w14:schemeClr w14:val="tx1"/>
                  </w14:solidFill>
                </w14:textFill>
              </w:rPr>
              <w:t>2019年7月，计40分；</w:t>
            </w:r>
          </w:p>
          <w:p w14:paraId="2B22DB32">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肖卫：《高铁重塑中国城市经济地理》</w:t>
            </w:r>
            <w:r>
              <w:rPr>
                <w:rFonts w:hint="eastAsia"/>
                <w:color w:val="000000" w:themeColor="text1"/>
                <w:szCs w:val="21"/>
                <w:lang w:val="en-US" w:eastAsia="zh-CN"/>
                <w14:textFill>
                  <w14:solidFill>
                    <w14:schemeClr w14:val="tx1"/>
                  </w14:solidFill>
                </w14:textFill>
              </w:rPr>
              <w:t>，《中国社会科学报》2016年7月，计50分；</w:t>
            </w:r>
          </w:p>
          <w:p w14:paraId="51F5833F">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w:t>
            </w:r>
            <w:r>
              <w:rPr>
                <w:rFonts w:hint="eastAsia"/>
                <w:kern w:val="0"/>
                <w:szCs w:val="21"/>
              </w:rPr>
              <w:t>《“石墨烯+”正在引领战略性新兴产业崛起》</w:t>
            </w:r>
            <w:r>
              <w:rPr>
                <w:rFonts w:hint="eastAsia"/>
                <w:color w:val="000000" w:themeColor="text1"/>
                <w:szCs w:val="21"/>
                <w:lang w:val="en-US" w:eastAsia="zh-CN"/>
                <w14:textFill>
                  <w14:solidFill>
                    <w14:schemeClr w14:val="tx1"/>
                  </w14:solidFill>
                </w14:textFill>
              </w:rPr>
              <w:t>，</w:t>
            </w:r>
            <w:r>
              <w:rPr>
                <w:rFonts w:hint="eastAsia"/>
                <w:kern w:val="0"/>
                <w:szCs w:val="21"/>
              </w:rPr>
              <w:t>《湖南日报》理论版</w:t>
            </w:r>
            <w:r>
              <w:rPr>
                <w:rFonts w:hint="eastAsia"/>
                <w:color w:val="000000" w:themeColor="text1"/>
                <w:szCs w:val="21"/>
                <w:lang w:val="en-US" w:eastAsia="zh-CN"/>
                <w14:textFill>
                  <w14:solidFill>
                    <w14:schemeClr w14:val="tx1"/>
                  </w14:solidFill>
                </w14:textFill>
              </w:rPr>
              <w:t>2016年1月，计40分；</w:t>
            </w:r>
          </w:p>
          <w:p w14:paraId="67AE611E">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肖卫：《优化空间结构促县域经济发展》</w:t>
            </w:r>
            <w:r>
              <w:rPr>
                <w:rFonts w:hint="eastAsia"/>
                <w:color w:val="000000" w:themeColor="text1"/>
                <w:szCs w:val="21"/>
                <w:lang w:val="en-US" w:eastAsia="zh-CN"/>
                <w14:textFill>
                  <w14:solidFill>
                    <w14:schemeClr w14:val="tx1"/>
                  </w14:solidFill>
                </w14:textFill>
              </w:rPr>
              <w:t>，《中国社会科学报》2015年10月，计50分；</w:t>
            </w:r>
          </w:p>
          <w:p w14:paraId="2BEC6153">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肖卫</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《有限理性、契约与农民集体行动——中国农民合作的产生与效率研究》</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求索</w:t>
            </w:r>
            <w:r>
              <w:rPr>
                <w:rFonts w:hint="eastAsia"/>
                <w:color w:val="000000" w:themeColor="text1"/>
                <w:szCs w:val="21"/>
                <w14:textFill>
                  <w14:solidFill>
                    <w14:schemeClr w14:val="tx1"/>
                  </w14:solidFill>
                </w14:textFill>
              </w:rPr>
              <w:t>》201</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年第</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期:</w:t>
            </w:r>
            <w:r>
              <w:rPr>
                <w:rFonts w:hint="eastAsia"/>
                <w:color w:val="000000" w:themeColor="text1"/>
                <w:szCs w:val="21"/>
                <w:lang w:val="en-US" w:eastAsia="zh-CN"/>
                <w14:textFill>
                  <w14:solidFill>
                    <w14:schemeClr w14:val="tx1"/>
                  </w14:solidFill>
                </w14:textFill>
              </w:rPr>
              <w:t>80</w:t>
            </w:r>
            <w:r>
              <w:rPr>
                <w:rFonts w:hint="eastAsia"/>
                <w:color w:val="000000" w:themeColor="text1"/>
                <w:szCs w:val="21"/>
                <w14:textFill>
                  <w14:solidFill>
                    <w14:schemeClr w14:val="tx1"/>
                  </w14:solidFill>
                </w14:textFill>
              </w:rPr>
              <w:t>-8</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计100分；</w:t>
            </w:r>
          </w:p>
          <w:p w14:paraId="7DE0EB82">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w:t>
            </w:r>
            <w:r>
              <w:rPr>
                <w:rFonts w:hint="eastAsia"/>
                <w:kern w:val="0"/>
                <w:szCs w:val="21"/>
              </w:rPr>
              <w:t>《粮食增产未必促进农民增收》</w:t>
            </w:r>
            <w:r>
              <w:rPr>
                <w:rFonts w:hint="eastAsia"/>
                <w:color w:val="000000" w:themeColor="text1"/>
                <w:szCs w:val="21"/>
                <w:lang w:val="en-US" w:eastAsia="zh-CN"/>
                <w14:textFill>
                  <w14:solidFill>
                    <w14:schemeClr w14:val="tx1"/>
                  </w14:solidFill>
                </w14:textFill>
              </w:rPr>
              <w:t>，《中国社会科学报》2014年6月，计50分；</w:t>
            </w:r>
          </w:p>
          <w:p w14:paraId="14A5C6D0">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w:t>
            </w:r>
            <w:r>
              <w:rPr>
                <w:rFonts w:hint="eastAsia"/>
                <w:kern w:val="0"/>
                <w:szCs w:val="21"/>
              </w:rPr>
              <w:t>《反腐助推中国经济改革》</w:t>
            </w:r>
            <w:r>
              <w:rPr>
                <w:rFonts w:hint="eastAsia"/>
                <w:color w:val="000000" w:themeColor="text1"/>
                <w:szCs w:val="21"/>
                <w:lang w:val="en-US" w:eastAsia="zh-CN"/>
                <w14:textFill>
                  <w14:solidFill>
                    <w14:schemeClr w14:val="tx1"/>
                  </w14:solidFill>
                </w14:textFill>
              </w:rPr>
              <w:t>，《中国社会科学报》2014年11月，计50分；</w:t>
            </w:r>
          </w:p>
          <w:p w14:paraId="12A014C6">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肖卫：《中国劳动力城乡流动、人力资源优化配置与经济增长》，《中国人口科学》2013年第1期：77-88（CSSCI来源期刊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计100分</w:t>
            </w:r>
            <w:r>
              <w:rPr>
                <w:rFonts w:hint="eastAsia"/>
                <w:color w:val="000000" w:themeColor="text1"/>
                <w:szCs w:val="21"/>
                <w14:textFill>
                  <w14:solidFill>
                    <w14:schemeClr w14:val="tx1"/>
                  </w14:solidFill>
                </w14:textFill>
              </w:rPr>
              <w:t>；</w:t>
            </w:r>
          </w:p>
          <w:p w14:paraId="14181110">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肖卫：《二元经济中农业技术进步、粮食增产与农民增收：来自中国2001-2010省级面板数据的证据》，《中国农村经济》2013年第6期：1－12（CSSCI来源期刊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计100分</w:t>
            </w:r>
            <w:r>
              <w:rPr>
                <w:rFonts w:hint="eastAsia"/>
                <w:color w:val="000000" w:themeColor="text1"/>
                <w:szCs w:val="21"/>
                <w14:textFill>
                  <w14:solidFill>
                    <w14:schemeClr w14:val="tx1"/>
                  </w14:solidFill>
                </w14:textFill>
              </w:rPr>
              <w:t>；</w:t>
            </w:r>
          </w:p>
          <w:p w14:paraId="0051E0F5">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肖卫、向国成、朱有志：《刘易斯转折点与库兹涅茨假说下的劳动力分流研究》，《中国人口科学》2011年第1期：35-44（CSSCI来源期刊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计70分</w:t>
            </w:r>
            <w:r>
              <w:rPr>
                <w:rFonts w:hint="eastAsia"/>
                <w:color w:val="000000" w:themeColor="text1"/>
                <w:szCs w:val="21"/>
                <w14:textFill>
                  <w14:solidFill>
                    <w14:schemeClr w14:val="tx1"/>
                  </w14:solidFill>
                </w14:textFill>
              </w:rPr>
              <w:t>；</w:t>
            </w:r>
          </w:p>
          <w:p w14:paraId="4EEDC4DC">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肖卫、朱有志：《村民自治中的程序民主与实质民主——基于社会选择理论对“村支两委”换届选举的案例分析》，《南京社会科学》2012年第5期：32-42（CSSCI来源期刊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计70分</w:t>
            </w:r>
            <w:r>
              <w:rPr>
                <w:rFonts w:hint="eastAsia"/>
                <w:color w:val="000000" w:themeColor="text1"/>
                <w:szCs w:val="21"/>
                <w14:textFill>
                  <w14:solidFill>
                    <w14:schemeClr w14:val="tx1"/>
                  </w14:solidFill>
                </w14:textFill>
              </w:rPr>
              <w:t>；</w:t>
            </w:r>
          </w:p>
          <w:p w14:paraId="4D2085AA">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肖卫、朱有志：《合约基础上农村公共物品供给博弈分析：以湖南山区农村为例》，《中国农村经济》2010年第12期：26-36（CSSCI来源期刊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计70分</w:t>
            </w:r>
            <w:r>
              <w:rPr>
                <w:rFonts w:hint="eastAsia"/>
                <w:color w:val="000000" w:themeColor="text1"/>
                <w:szCs w:val="21"/>
                <w14:textFill>
                  <w14:solidFill>
                    <w14:schemeClr w14:val="tx1"/>
                  </w14:solidFill>
                </w14:textFill>
              </w:rPr>
              <w:t>；</w:t>
            </w:r>
          </w:p>
          <w:p w14:paraId="79996FBE">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肖卫、朱有志：《农村经济组织中的委托－代理关系：理论、实践与政策》，《上海经济研究》2010年第8期:79-86（CSSCI来源期刊），计70分；</w:t>
            </w:r>
          </w:p>
          <w:p w14:paraId="0696BB2F">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eastAsiaTheme="minorEastAsia"/>
                <w:kern w:val="0"/>
                <w:szCs w:val="21"/>
                <w:lang w:val="en-US" w:eastAsia="zh-CN"/>
              </w:rPr>
              <w:t>肖卫：</w:t>
            </w:r>
            <w:r>
              <w:rPr>
                <w:rFonts w:hint="eastAsia" w:eastAsiaTheme="minorEastAsia"/>
                <w:kern w:val="0"/>
                <w:szCs w:val="21"/>
                <w:lang w:eastAsia="zh-CN"/>
              </w:rPr>
              <w:t>《被低估的“湖南农民大学生培养计划——湖南省20年的实践成效、典型经验与政策优化”》，</w:t>
            </w:r>
            <w:r>
              <w:rPr>
                <w:rFonts w:hint="eastAsia"/>
                <w:kern w:val="0"/>
                <w:szCs w:val="21"/>
              </w:rPr>
              <w:t>《决策参考·湖南智库成果专报》2024年第21期</w:t>
            </w:r>
            <w:r>
              <w:rPr>
                <w:rFonts w:hint="eastAsia"/>
                <w:kern w:val="0"/>
                <w:szCs w:val="21"/>
                <w:lang w:eastAsia="zh-CN"/>
              </w:rPr>
              <w:t>：</w:t>
            </w:r>
            <w:r>
              <w:rPr>
                <w:rFonts w:hint="eastAsia"/>
                <w:kern w:val="0"/>
                <w:szCs w:val="21"/>
                <w:lang w:val="en-US" w:eastAsia="zh-CN"/>
              </w:rPr>
              <w:t>1-14，计70分；</w:t>
            </w:r>
          </w:p>
          <w:p w14:paraId="7C932404">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肖卫、肖琳子</w:t>
            </w:r>
            <w:r>
              <w:rPr>
                <w:rFonts w:hint="eastAsia"/>
                <w:color w:val="000000" w:themeColor="text1"/>
                <w:szCs w:val="21"/>
                <w:lang w:eastAsia="zh-CN"/>
                <w14:textFill>
                  <w14:solidFill>
                    <w14:schemeClr w14:val="tx1"/>
                  </w14:solidFill>
                </w14:textFill>
              </w:rPr>
              <w:t>：</w:t>
            </w:r>
            <w:r>
              <w:rPr>
                <w:rFonts w:hint="default"/>
                <w:color w:val="000000" w:themeColor="text1"/>
                <w:szCs w:val="21"/>
                <w:lang w:val="en-US" w:eastAsia="zh-CN"/>
                <w14:textFill>
                  <w14:solidFill>
                    <w14:schemeClr w14:val="tx1"/>
                  </w14:solidFill>
                </w14:textFill>
              </w:rPr>
              <w:t>《农民大学生培养计划赋能乡村振兴的理论与实践——基于湖南的案例分析》，《湖南开放大学学报》2024年第1期，</w:t>
            </w:r>
            <w:r>
              <w:rPr>
                <w:rFonts w:hint="eastAsia"/>
                <w:color w:val="000000" w:themeColor="text1"/>
                <w:szCs w:val="21"/>
                <w:lang w:val="en-US" w:eastAsia="zh-CN"/>
                <w14:textFill>
                  <w14:solidFill>
                    <w14:schemeClr w14:val="tx1"/>
                  </w14:solidFill>
                </w14:textFill>
              </w:rPr>
              <w:t>计5分；</w:t>
            </w:r>
          </w:p>
          <w:p w14:paraId="3600040D">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肖卫：</w:t>
            </w:r>
            <w:r>
              <w:rPr>
                <w:rFonts w:hint="eastAsia"/>
                <w:kern w:val="0"/>
                <w:szCs w:val="21"/>
              </w:rPr>
              <w:t>《抢抓历史机遇 建设种业强省——关于我省实施种业振兴的调研与思考》</w:t>
            </w:r>
            <w:r>
              <w:rPr>
                <w:rFonts w:hint="eastAsia"/>
                <w:kern w:val="0"/>
                <w:szCs w:val="21"/>
                <w:lang w:eastAsia="zh-CN"/>
              </w:rPr>
              <w:t>，</w:t>
            </w:r>
            <w:r>
              <w:rPr>
                <w:rFonts w:hint="eastAsia"/>
                <w:kern w:val="0"/>
                <w:szCs w:val="21"/>
              </w:rPr>
              <w:t>《决策参考·湖南智库成果专报》202</w:t>
            </w:r>
            <w:r>
              <w:rPr>
                <w:rFonts w:hint="eastAsia"/>
                <w:kern w:val="0"/>
                <w:szCs w:val="21"/>
                <w:lang w:val="en-US" w:eastAsia="zh-CN"/>
              </w:rPr>
              <w:t>2</w:t>
            </w:r>
            <w:r>
              <w:rPr>
                <w:rFonts w:hint="eastAsia"/>
                <w:kern w:val="0"/>
                <w:szCs w:val="21"/>
              </w:rPr>
              <w:t>年第</w:t>
            </w:r>
            <w:r>
              <w:rPr>
                <w:rFonts w:hint="eastAsia"/>
                <w:kern w:val="0"/>
                <w:szCs w:val="21"/>
                <w:lang w:val="en-US" w:eastAsia="zh-CN"/>
              </w:rPr>
              <w:t>10</w:t>
            </w:r>
            <w:r>
              <w:rPr>
                <w:rFonts w:hint="eastAsia"/>
                <w:kern w:val="0"/>
                <w:szCs w:val="21"/>
              </w:rPr>
              <w:t>期</w:t>
            </w:r>
            <w:r>
              <w:rPr>
                <w:rFonts w:hint="eastAsia"/>
                <w:kern w:val="0"/>
                <w:szCs w:val="21"/>
                <w:lang w:eastAsia="zh-CN"/>
              </w:rPr>
              <w:t>：</w:t>
            </w:r>
            <w:r>
              <w:rPr>
                <w:rFonts w:hint="eastAsia"/>
                <w:kern w:val="0"/>
                <w:szCs w:val="21"/>
                <w:lang w:val="en-US" w:eastAsia="zh-CN"/>
              </w:rPr>
              <w:t>1-9，计70分；</w:t>
            </w:r>
          </w:p>
          <w:p w14:paraId="7E1DF8A5">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kern w:val="0"/>
                <w:szCs w:val="21"/>
                <w:lang w:val="en-US" w:eastAsia="zh-CN"/>
              </w:rPr>
              <w:t>肖卫：</w:t>
            </w:r>
            <w:r>
              <w:rPr>
                <w:rFonts w:hint="eastAsia"/>
                <w:kern w:val="0"/>
                <w:szCs w:val="21"/>
              </w:rPr>
              <w:t>《努力将湖南这片红色热土打造成为创新创业乐土》</w:t>
            </w:r>
            <w:r>
              <w:rPr>
                <w:rFonts w:hint="eastAsia"/>
                <w:kern w:val="0"/>
                <w:szCs w:val="21"/>
                <w:lang w:eastAsia="zh-CN"/>
              </w:rPr>
              <w:t>，</w:t>
            </w:r>
            <w:r>
              <w:rPr>
                <w:rFonts w:hint="eastAsia"/>
                <w:kern w:val="0"/>
                <w:szCs w:val="21"/>
              </w:rPr>
              <w:t>《决策参考·湖南智库成果专报》20</w:t>
            </w:r>
            <w:r>
              <w:rPr>
                <w:rFonts w:hint="eastAsia"/>
                <w:kern w:val="0"/>
                <w:szCs w:val="21"/>
                <w:lang w:val="en-US" w:eastAsia="zh-CN"/>
              </w:rPr>
              <w:t>19</w:t>
            </w:r>
            <w:r>
              <w:rPr>
                <w:rFonts w:hint="eastAsia"/>
                <w:kern w:val="0"/>
                <w:szCs w:val="21"/>
              </w:rPr>
              <w:t>年第</w:t>
            </w:r>
            <w:r>
              <w:rPr>
                <w:rFonts w:hint="eastAsia"/>
                <w:kern w:val="0"/>
                <w:szCs w:val="21"/>
                <w:lang w:val="en-US" w:eastAsia="zh-CN"/>
              </w:rPr>
              <w:t>47-3</w:t>
            </w:r>
            <w:r>
              <w:rPr>
                <w:rFonts w:hint="eastAsia"/>
                <w:kern w:val="0"/>
                <w:szCs w:val="21"/>
              </w:rPr>
              <w:t>期</w:t>
            </w:r>
            <w:r>
              <w:rPr>
                <w:rFonts w:hint="eastAsia"/>
                <w:kern w:val="0"/>
                <w:szCs w:val="21"/>
                <w:lang w:eastAsia="zh-CN"/>
              </w:rPr>
              <w:t>：</w:t>
            </w:r>
            <w:r>
              <w:rPr>
                <w:rFonts w:hint="eastAsia"/>
                <w:kern w:val="0"/>
                <w:szCs w:val="21"/>
                <w:lang w:val="en-US" w:eastAsia="zh-CN"/>
              </w:rPr>
              <w:t>1-10，计70分；</w:t>
            </w:r>
          </w:p>
          <w:p w14:paraId="0E30185C">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w:t>
            </w:r>
            <w:r>
              <w:rPr>
                <w:rFonts w:hint="eastAsia"/>
                <w:color w:val="000000" w:themeColor="text1"/>
                <w:szCs w:val="21"/>
                <w:lang w:val="en-US" w:eastAsia="zh-CN"/>
                <w14:textFill>
                  <w14:solidFill>
                    <w14:schemeClr w14:val="tx1"/>
                  </w14:solidFill>
                </w14:textFill>
              </w:rPr>
              <w:t>张有富</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《精准脱贫进程中农村集体经济发展困境与出路——以武陵山片区新晃县为例》，《当代农村财经》2018年第11期，计5分；</w:t>
            </w:r>
          </w:p>
          <w:p w14:paraId="0A518347">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肖琳子</w:t>
            </w:r>
            <w:r>
              <w:rPr>
                <w:rFonts w:hint="eastAsia"/>
                <w:color w:val="000000" w:themeColor="text1"/>
                <w:szCs w:val="21"/>
                <w:lang w:val="en-US" w:eastAsia="zh-CN"/>
                <w14:textFill>
                  <w14:solidFill>
                    <w14:schemeClr w14:val="tx1"/>
                  </w14:solidFill>
                </w14:textFill>
              </w:rPr>
              <w:t>、</w:t>
            </w:r>
            <w:r>
              <w:rPr>
                <w:rFonts w:hint="default"/>
                <w:color w:val="000000" w:themeColor="text1"/>
                <w:szCs w:val="21"/>
                <w:lang w:val="en-US" w:eastAsia="zh-CN"/>
                <w14:textFill>
                  <w14:solidFill>
                    <w14:schemeClr w14:val="tx1"/>
                  </w14:solidFill>
                </w14:textFill>
              </w:rPr>
              <w:t>肖卫：《二元经济中农业技术进步、劳动力流动与经济增长：基于中国省级面板数据的实证分析》，《上海经济研究》2014年第6期</w:t>
            </w:r>
            <w:r>
              <w:rPr>
                <w:rFonts w:hint="eastAsia"/>
                <w:color w:val="000000" w:themeColor="text1"/>
                <w:szCs w:val="21"/>
                <w:lang w:val="en-US" w:eastAsia="zh-CN"/>
                <w14:textFill>
                  <w14:solidFill>
                    <w14:schemeClr w14:val="tx1"/>
                  </w14:solidFill>
                </w14:textFill>
              </w:rPr>
              <w:t>（CSSCI来源期刊），计30分；</w:t>
            </w:r>
          </w:p>
          <w:p w14:paraId="4862702B">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肖琳子、肖卫：《二元经济中农业技术进步对劳动力流动与经济增长的影响——基于中国1992-2012年的实证》，</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求索</w:t>
            </w:r>
            <w:r>
              <w:rPr>
                <w:rFonts w:hint="default"/>
                <w:color w:val="000000" w:themeColor="text1"/>
                <w:szCs w:val="21"/>
                <w:lang w:val="en-US" w:eastAsia="zh-CN"/>
                <w14:textFill>
                  <w14:solidFill>
                    <w14:schemeClr w14:val="tx1"/>
                  </w14:solidFill>
                </w14:textFill>
              </w:rPr>
              <w:t>》2014年第</w:t>
            </w:r>
            <w:r>
              <w:rPr>
                <w:rFonts w:hint="eastAsia"/>
                <w:color w:val="000000" w:themeColor="text1"/>
                <w:szCs w:val="21"/>
                <w:lang w:val="en-US" w:eastAsia="zh-CN"/>
                <w14:textFill>
                  <w14:solidFill>
                    <w14:schemeClr w14:val="tx1"/>
                  </w14:solidFill>
                </w14:textFill>
              </w:rPr>
              <w:t>11</w:t>
            </w:r>
            <w:r>
              <w:rPr>
                <w:rFonts w:hint="default"/>
                <w:color w:val="000000" w:themeColor="text1"/>
                <w:szCs w:val="21"/>
                <w:lang w:val="en-US" w:eastAsia="zh-CN"/>
                <w14:textFill>
                  <w14:solidFill>
                    <w14:schemeClr w14:val="tx1"/>
                  </w14:solidFill>
                </w14:textFill>
              </w:rPr>
              <w:t>期</w:t>
            </w:r>
            <w:r>
              <w:rPr>
                <w:rFonts w:hint="eastAsia"/>
                <w:color w:val="000000" w:themeColor="text1"/>
                <w:szCs w:val="21"/>
                <w:lang w:val="en-US" w:eastAsia="zh-CN"/>
                <w14:textFill>
                  <w14:solidFill>
                    <w14:schemeClr w14:val="tx1"/>
                  </w14:solidFill>
                </w14:textFill>
              </w:rPr>
              <w:t>（CSSCI来源期刊），计30分；</w:t>
            </w:r>
          </w:p>
          <w:p w14:paraId="08463EAE">
            <w:pPr>
              <w:numPr>
                <w:ilvl w:val="0"/>
                <w:numId w:val="1"/>
              </w:numPr>
              <w:adjustRightInd w:val="0"/>
              <w:snapToGrid w:val="0"/>
              <w:spacing w:line="276" w:lineRule="auto"/>
              <w:ind w:firstLine="420" w:firstLineChars="200"/>
              <w:rPr>
                <w:rFonts w:hint="default" w:eastAsia="宋体"/>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肖卫：《促进农业发展并以农业促进发展——中国新阶段农业发展的任务与路径》</w:t>
            </w:r>
            <w:r>
              <w:rPr>
                <w:rFonts w:hint="eastAsia"/>
                <w:color w:val="000000" w:themeColor="text1"/>
                <w:szCs w:val="21"/>
                <w:lang w:val="en-US" w:eastAsia="zh-CN"/>
                <w14:textFill>
                  <w14:solidFill>
                    <w14:schemeClr w14:val="tx1"/>
                  </w14:solidFill>
                </w14:textFill>
              </w:rPr>
              <w:t>，</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三农中国</w:t>
            </w:r>
            <w:r>
              <w:rPr>
                <w:rFonts w:hint="default"/>
                <w:color w:val="000000" w:themeColor="text1"/>
                <w:szCs w:val="21"/>
                <w:lang w:val="en-US" w:eastAsia="zh-CN"/>
                <w14:textFill>
                  <w14:solidFill>
                    <w14:schemeClr w14:val="tx1"/>
                  </w14:solidFill>
                </w14:textFill>
              </w:rPr>
              <w:t>》20</w:t>
            </w:r>
            <w:r>
              <w:rPr>
                <w:rFonts w:hint="eastAsia"/>
                <w:color w:val="000000" w:themeColor="text1"/>
                <w:szCs w:val="21"/>
                <w:lang w:val="en-US" w:eastAsia="zh-CN"/>
                <w14:textFill>
                  <w14:solidFill>
                    <w14:schemeClr w14:val="tx1"/>
                  </w14:solidFill>
                </w14:textFill>
              </w:rPr>
              <w:t>14</w:t>
            </w:r>
            <w:r>
              <w:rPr>
                <w:rFonts w:hint="default"/>
                <w:color w:val="000000" w:themeColor="text1"/>
                <w:szCs w:val="21"/>
                <w:lang w:val="en-US" w:eastAsia="zh-CN"/>
                <w14:textFill>
                  <w14:solidFill>
                    <w14:schemeClr w14:val="tx1"/>
                  </w14:solidFill>
                </w14:textFill>
              </w:rPr>
              <w:t>年第</w:t>
            </w:r>
            <w:r>
              <w:rPr>
                <w:rFonts w:hint="eastAsia"/>
                <w:color w:val="000000" w:themeColor="text1"/>
                <w:szCs w:val="21"/>
                <w:lang w:val="en-US" w:eastAsia="zh-CN"/>
                <w14:textFill>
                  <w14:solidFill>
                    <w14:schemeClr w14:val="tx1"/>
                  </w14:solidFill>
                </w14:textFill>
              </w:rPr>
              <w:t>2</w:t>
            </w:r>
            <w:r>
              <w:rPr>
                <w:rFonts w:hint="default"/>
                <w:color w:val="000000" w:themeColor="text1"/>
                <w:szCs w:val="21"/>
                <w:lang w:val="en-US" w:eastAsia="zh-CN"/>
                <w14:textFill>
                  <w14:solidFill>
                    <w14:schemeClr w14:val="tx1"/>
                  </w14:solidFill>
                </w14:textFill>
              </w:rPr>
              <w:t>期：10-15</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辑刊</w:t>
            </w:r>
            <w:r>
              <w:rPr>
                <w:rFonts w:hint="eastAsia"/>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计5分；</w:t>
            </w:r>
          </w:p>
          <w:p w14:paraId="0B5054D8">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肖卫、向国成、朱有志：《劳动力“二次分流”与中国经济格局演进》，《中国社会科学文摘》（转载）2011年第6期:98-100（</w:t>
            </w:r>
            <w:r>
              <w:rPr>
                <w:rFonts w:hint="eastAsia"/>
                <w:color w:val="000000" w:themeColor="text1"/>
                <w:szCs w:val="21"/>
                <w:lang w:val="en-US" w:eastAsia="zh-CN"/>
                <w14:textFill>
                  <w14:solidFill>
                    <w14:schemeClr w14:val="tx1"/>
                  </w14:solidFill>
                </w14:textFill>
              </w:rPr>
              <w:t>权威转载</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计210分</w:t>
            </w:r>
            <w:r>
              <w:rPr>
                <w:rFonts w:hint="eastAsia"/>
                <w:color w:val="000000" w:themeColor="text1"/>
                <w:szCs w:val="21"/>
                <w14:textFill>
                  <w14:solidFill>
                    <w14:schemeClr w14:val="tx1"/>
                  </w14:solidFill>
                </w14:textFill>
              </w:rPr>
              <w:t>；</w:t>
            </w:r>
          </w:p>
          <w:p w14:paraId="25131958">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肖卫、朱有志：《村民自治的程序民主与实质民主》，《中国社会科学文摘》（转载）2012年第10期:88-9</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权威转载</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计210分</w:t>
            </w:r>
            <w:r>
              <w:rPr>
                <w:rFonts w:hint="eastAsia"/>
                <w:color w:val="000000" w:themeColor="text1"/>
                <w:szCs w:val="21"/>
                <w14:textFill>
                  <w14:solidFill>
                    <w14:schemeClr w14:val="tx1"/>
                  </w14:solidFill>
                </w14:textFill>
              </w:rPr>
              <w:t>；</w:t>
            </w:r>
          </w:p>
          <w:p w14:paraId="30FCA499">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肖卫、朱有志：《村民自治的程序民主与实质民主》，《马克思主义文摘》2012年第12期（人大复印资料全文转载），计105分；</w:t>
            </w:r>
          </w:p>
          <w:p w14:paraId="73B0A4D8">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肖卫、朱有志、肖琳子：《二元经济结构、劳动力报酬差异与城乡统筹发展：基于中国1978－2007年的实证》，《中国人口科学》2009年第4期：23-3</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计70分</w:t>
            </w:r>
            <w:r>
              <w:rPr>
                <w:rFonts w:hint="eastAsia"/>
                <w:color w:val="000000" w:themeColor="text1"/>
                <w:szCs w:val="21"/>
                <w14:textFill>
                  <w14:solidFill>
                    <w14:schemeClr w14:val="tx1"/>
                  </w14:solidFill>
                </w14:textFill>
              </w:rPr>
              <w:t>；</w:t>
            </w:r>
          </w:p>
          <w:p w14:paraId="250C22F1">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肖卫、肖琳子、朱有志：《城市群中的城乡统筹发展研究：以长株潭城市群为例》，《城市发展研究》2009年第11期:43-47（CSSCI来源期刊）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计70分</w:t>
            </w:r>
            <w:r>
              <w:rPr>
                <w:rFonts w:hint="eastAsia"/>
                <w:color w:val="000000" w:themeColor="text1"/>
                <w:szCs w:val="21"/>
                <w14:textFill>
                  <w14:solidFill>
                    <w14:schemeClr w14:val="tx1"/>
                  </w14:solidFill>
                </w14:textFill>
              </w:rPr>
              <w:t>；</w:t>
            </w:r>
          </w:p>
          <w:p w14:paraId="5A7F355A">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肖卫、朱有志：《秩序演进与中国农村改革：一个基于契约经济学的分析》，《制度经济学研究》2009年第2期:152-165（CSSCI来源期刊）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计70分</w:t>
            </w:r>
            <w:r>
              <w:rPr>
                <w:rFonts w:hint="eastAsia"/>
                <w:color w:val="000000" w:themeColor="text1"/>
                <w:szCs w:val="21"/>
                <w14:textFill>
                  <w14:solidFill>
                    <w14:schemeClr w14:val="tx1"/>
                  </w14:solidFill>
                </w14:textFill>
              </w:rPr>
              <w:t>；</w:t>
            </w:r>
          </w:p>
          <w:p w14:paraId="7F237A6A">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肖卫、朱有志：《基于社会资本治理“公地悲剧”的KMRW声誉博弈解释》，《求索》2007年第12期：22-24（CSSCI来源期刊）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计70分</w:t>
            </w:r>
            <w:r>
              <w:rPr>
                <w:rFonts w:hint="eastAsia"/>
                <w:color w:val="000000" w:themeColor="text1"/>
                <w:szCs w:val="21"/>
                <w14:textFill>
                  <w14:solidFill>
                    <w14:schemeClr w14:val="tx1"/>
                  </w14:solidFill>
                </w14:textFill>
              </w:rPr>
              <w:t>；</w:t>
            </w:r>
          </w:p>
          <w:p w14:paraId="7E98421C">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肖卫、朱有志：</w:t>
            </w:r>
            <w:r>
              <w:rPr>
                <w:rFonts w:hint="eastAsia"/>
                <w:color w:val="000000" w:themeColor="text1"/>
                <w:szCs w:val="21"/>
                <w:lang w:val="en-US" w:eastAsia="zh-CN"/>
                <w14:textFill>
                  <w14:solidFill>
                    <w14:schemeClr w14:val="tx1"/>
                  </w14:solidFill>
                </w14:textFill>
              </w:rPr>
              <w:t>《农民专业化合作的产生与效率的实证分析》，《湖南社会科学》2011年第4期:126-129（CSSCI来源期刊），计70分；</w:t>
            </w:r>
          </w:p>
          <w:p w14:paraId="18095DE5">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朱有志、肖卫：《发展农村集体经济要深化“五个认识”》，《毛泽东邓小平理论研究》，2013年第2期：33-37（CSSCI来源期刊），计30分；</w:t>
            </w:r>
          </w:p>
          <w:p w14:paraId="4D366599">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朱有志、肖卫：《地方社科院智库建设与研究的国际化道路探索：以湖南社科院为例》，《社会科学管理与评论》2013年第1期:106-110（CSSCI来源期刊），计30分；</w:t>
            </w:r>
          </w:p>
          <w:p w14:paraId="587C7BB6">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朱有志、肖卫：《以自由看待中国农民的发展与实践——基于马克思自由观与阿玛蒂亚·森发展观的分析》，《湖南科技大学学报》（哲学社会科学版:2013年第1期：53-67（CSSCI来源期刊），计30分；</w:t>
            </w:r>
          </w:p>
          <w:p w14:paraId="54C16D4C">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朱有志、肖卫：《农村集体经济“二次飞跃”是新农村建设的必由之路》，《求索》2007年第11期：50-52</w:t>
            </w:r>
            <w:r>
              <w:rPr>
                <w:rFonts w:hint="eastAsia"/>
                <w:color w:val="000000" w:themeColor="text1"/>
                <w:szCs w:val="21"/>
                <w14:textFill>
                  <w14:solidFill>
                    <w14:schemeClr w14:val="tx1"/>
                  </w14:solidFill>
                </w14:textFill>
              </w:rPr>
              <w:t>（CSSCI来源期刊）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计30分；</w:t>
            </w:r>
          </w:p>
          <w:p w14:paraId="05C32168">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肖卫、朱有志、肖琳子：《从家庭承包责任制到集体林权改革看农村产权制度完善》，《调研世界》2010年第2期:9-12</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中文核心</w:t>
            </w:r>
            <w:r>
              <w:rPr>
                <w:rFonts w:hint="eastAsia"/>
                <w:color w:val="000000" w:themeColor="text1"/>
                <w:szCs w:val="21"/>
                <w14:textFill>
                  <w14:solidFill>
                    <w14:schemeClr w14:val="tx1"/>
                  </w14:solidFill>
                </w14:textFill>
              </w:rPr>
              <w:t>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计28分；</w:t>
            </w:r>
          </w:p>
          <w:p w14:paraId="44E6D60D">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肖卫：《农村经营体制完善与发展历程》，《中国国情国力》2010年第2期:55-56</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中文核心</w:t>
            </w:r>
            <w:r>
              <w:rPr>
                <w:rFonts w:hint="eastAsia"/>
                <w:color w:val="000000" w:themeColor="text1"/>
                <w:szCs w:val="21"/>
                <w14:textFill>
                  <w14:solidFill>
                    <w14:schemeClr w14:val="tx1"/>
                  </w14:solidFill>
                </w14:textFill>
              </w:rPr>
              <w:t>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计40分</w:t>
            </w:r>
            <w:r>
              <w:rPr>
                <w:rFonts w:hint="default"/>
                <w:color w:val="000000" w:themeColor="text1"/>
                <w:szCs w:val="21"/>
                <w:lang w:val="en-US" w:eastAsia="zh-CN"/>
                <w14:textFill>
                  <w14:solidFill>
                    <w14:schemeClr w14:val="tx1"/>
                  </w14:solidFill>
                </w14:textFill>
              </w:rPr>
              <w:t>；</w:t>
            </w:r>
          </w:p>
          <w:p w14:paraId="2B1D09F5">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肖卫：《中国食品工业中的集聚效应研究》，《</w:t>
            </w:r>
            <w:r>
              <w:rPr>
                <w:rFonts w:hint="eastAsia"/>
                <w:color w:val="000000" w:themeColor="text1"/>
                <w:szCs w:val="21"/>
                <w:lang w:val="en-US" w:eastAsia="zh-CN"/>
                <w14:textFill>
                  <w14:solidFill>
                    <w14:schemeClr w14:val="tx1"/>
                  </w14:solidFill>
                </w14:textFill>
              </w:rPr>
              <w:t>产经评论</w:t>
            </w:r>
            <w:r>
              <w:rPr>
                <w:rFonts w:hint="default"/>
                <w:color w:val="000000" w:themeColor="text1"/>
                <w:szCs w:val="21"/>
                <w:lang w:val="en-US" w:eastAsia="zh-CN"/>
                <w14:textFill>
                  <w14:solidFill>
                    <w14:schemeClr w14:val="tx1"/>
                  </w14:solidFill>
                </w14:textFill>
              </w:rPr>
              <w:t>》2009年第4期:19-26</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中文核心</w:t>
            </w:r>
            <w:r>
              <w:rPr>
                <w:rFonts w:hint="eastAsia"/>
                <w:color w:val="000000" w:themeColor="text1"/>
                <w:szCs w:val="21"/>
                <w14:textFill>
                  <w14:solidFill>
                    <w14:schemeClr w14:val="tx1"/>
                  </w14:solidFill>
                </w14:textFill>
              </w:rPr>
              <w:t>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计40分</w:t>
            </w:r>
            <w:r>
              <w:rPr>
                <w:rFonts w:hint="default"/>
                <w:color w:val="000000" w:themeColor="text1"/>
                <w:szCs w:val="21"/>
                <w:lang w:val="en-US" w:eastAsia="zh-CN"/>
                <w14:textFill>
                  <w14:solidFill>
                    <w14:schemeClr w14:val="tx1"/>
                  </w14:solidFill>
                </w14:textFill>
              </w:rPr>
              <w:t>；</w:t>
            </w:r>
          </w:p>
          <w:p w14:paraId="7D58523F">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肖卫：《长株潭“两型”城市群的崛起》，《中国城市经济》2009年第12期:25-30</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中文核心</w:t>
            </w:r>
            <w:r>
              <w:rPr>
                <w:rFonts w:hint="eastAsia"/>
                <w:color w:val="000000" w:themeColor="text1"/>
                <w:szCs w:val="21"/>
                <w14:textFill>
                  <w14:solidFill>
                    <w14:schemeClr w14:val="tx1"/>
                  </w14:solidFill>
                </w14:textFill>
              </w:rPr>
              <w:t>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计40分</w:t>
            </w:r>
            <w:r>
              <w:rPr>
                <w:rFonts w:hint="default"/>
                <w:color w:val="000000" w:themeColor="text1"/>
                <w:szCs w:val="21"/>
                <w:lang w:val="en-US" w:eastAsia="zh-CN"/>
                <w14:textFill>
                  <w14:solidFill>
                    <w14:schemeClr w14:val="tx1"/>
                  </w14:solidFill>
                </w14:textFill>
              </w:rPr>
              <w:t>；</w:t>
            </w:r>
          </w:p>
          <w:p w14:paraId="3C30B097">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肖卫：《农村改革需要直面农民收入和农业发展问题》</w:t>
            </w:r>
            <w:r>
              <w:rPr>
                <w:rFonts w:hint="eastAsia"/>
                <w:color w:val="000000" w:themeColor="text1"/>
                <w:szCs w:val="21"/>
                <w:lang w:val="en-US" w:eastAsia="zh-CN"/>
                <w14:textFill>
                  <w14:solidFill>
                    <w14:schemeClr w14:val="tx1"/>
                  </w14:solidFill>
                </w14:textFill>
              </w:rPr>
              <w:t>，《中国乡村发现》2025年第1期，计5分；</w:t>
            </w:r>
          </w:p>
          <w:p w14:paraId="44CE1972">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肖卫：《实现高质量发展应主动破除“内卷式”竞争》</w:t>
            </w:r>
            <w:r>
              <w:rPr>
                <w:rFonts w:hint="eastAsia"/>
                <w:color w:val="000000" w:themeColor="text1"/>
                <w:szCs w:val="21"/>
                <w:lang w:val="en-US" w:eastAsia="zh-CN"/>
                <w14:textFill>
                  <w14:solidFill>
                    <w14:schemeClr w14:val="tx1"/>
                  </w14:solidFill>
                </w14:textFill>
              </w:rPr>
              <w:t>，《中国社会科学报》2025年4月，计50分；</w:t>
            </w:r>
          </w:p>
          <w:p w14:paraId="73A4CDD2">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w:t>
            </w:r>
            <w:r>
              <w:rPr>
                <w:rFonts w:hint="eastAsia"/>
                <w:kern w:val="0"/>
                <w:szCs w:val="21"/>
                <w:lang w:eastAsia="zh-CN"/>
              </w:rPr>
              <w:t>《</w:t>
            </w:r>
            <w:r>
              <w:rPr>
                <w:rFonts w:hint="eastAsia"/>
                <w:kern w:val="0"/>
                <w:szCs w:val="21"/>
              </w:rPr>
              <w:t>简评</w:t>
            </w:r>
            <w:r>
              <w:rPr>
                <w:rFonts w:hint="eastAsia"/>
                <w:kern w:val="0"/>
                <w:szCs w:val="21"/>
                <w:lang w:val="en-US" w:eastAsia="zh-CN"/>
              </w:rPr>
              <w:t>&lt;</w:t>
            </w:r>
            <w:r>
              <w:rPr>
                <w:rFonts w:hint="eastAsia"/>
                <w:kern w:val="0"/>
                <w:szCs w:val="21"/>
              </w:rPr>
              <w:t>湖南在当代中国的战略地位</w:t>
            </w:r>
            <w:r>
              <w:rPr>
                <w:rFonts w:hint="eastAsia"/>
                <w:kern w:val="0"/>
                <w:szCs w:val="21"/>
                <w:lang w:val="en-US" w:eastAsia="zh-CN"/>
              </w:rPr>
              <w:t>&gt;</w:t>
            </w:r>
            <w:r>
              <w:rPr>
                <w:rFonts w:hint="eastAsia"/>
                <w:kern w:val="0"/>
                <w:szCs w:val="21"/>
              </w:rPr>
              <w:t>》</w:t>
            </w:r>
            <w:r>
              <w:rPr>
                <w:rFonts w:hint="eastAsia"/>
                <w:color w:val="000000" w:themeColor="text1"/>
                <w:szCs w:val="21"/>
                <w:lang w:val="en-US" w:eastAsia="zh-CN"/>
                <w14:textFill>
                  <w14:solidFill>
                    <w14:schemeClr w14:val="tx1"/>
                  </w14:solidFill>
                </w14:textFill>
              </w:rPr>
              <w:t>，《光明日报》2010年5月，计50分；</w:t>
            </w:r>
          </w:p>
          <w:p w14:paraId="6E6EE4AC">
            <w:pPr>
              <w:numPr>
                <w:ilvl w:val="0"/>
                <w:numId w:val="1"/>
              </w:numPr>
              <w:adjustRightInd w:val="0"/>
              <w:snapToGrid w:val="0"/>
              <w:spacing w:line="276" w:lineRule="auto"/>
              <w:ind w:firstLine="420" w:firstLineChars="200"/>
              <w:rPr>
                <w:color w:val="000000" w:themeColor="text1"/>
                <w:szCs w:val="21"/>
                <w14:textFill>
                  <w14:solidFill>
                    <w14:schemeClr w14:val="tx1"/>
                  </w14:solidFill>
                </w14:textFill>
              </w:rPr>
            </w:pPr>
            <w:r>
              <w:rPr>
                <w:rFonts w:hint="default"/>
                <w:color w:val="000000" w:themeColor="text1"/>
                <w:szCs w:val="21"/>
                <w:lang w:val="en-US" w:eastAsia="zh-CN"/>
                <w14:textFill>
                  <w14:solidFill>
                    <w14:schemeClr w14:val="tx1"/>
                  </w14:solidFill>
                </w14:textFill>
              </w:rPr>
              <w:t>肖卫：《</w:t>
            </w:r>
            <w:r>
              <w:rPr>
                <w:rFonts w:hint="eastAsia"/>
                <w:color w:val="000000" w:themeColor="text1"/>
                <w:szCs w:val="21"/>
                <w:lang w:val="en-US" w:eastAsia="zh-CN"/>
                <w14:textFill>
                  <w14:solidFill>
                    <w14:schemeClr w14:val="tx1"/>
                  </w14:solidFill>
                </w14:textFill>
              </w:rPr>
              <w:t>当前县域经济运转逻辑下的基层治理困境与进路</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乡村治理评论</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2025年第1期</w:t>
            </w:r>
            <w:r>
              <w:rPr>
                <w:rFonts w:hint="default"/>
                <w:color w:val="000000" w:themeColor="text1"/>
                <w:szCs w:val="21"/>
                <w:lang w:val="en-US" w:eastAsia="zh-CN"/>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default"/>
                <w:color w:val="000000" w:themeColor="text1"/>
                <w:szCs w:val="21"/>
                <w:lang w:val="en-US" w:eastAsia="zh-CN"/>
                <w14:textFill>
                  <w14:solidFill>
                    <w14:schemeClr w14:val="tx1"/>
                  </w14:solidFill>
                </w14:textFill>
              </w:rPr>
              <w:t>分</w:t>
            </w:r>
            <w:r>
              <w:rPr>
                <w:rFonts w:hint="eastAsia"/>
                <w:color w:val="000000" w:themeColor="text1"/>
                <w:szCs w:val="21"/>
                <w:lang w:val="en-US" w:eastAsia="zh-CN"/>
                <w14:textFill>
                  <w14:solidFill>
                    <w14:schemeClr w14:val="tx1"/>
                  </w14:solidFill>
                </w14:textFill>
              </w:rPr>
              <w:t>；</w:t>
            </w:r>
          </w:p>
          <w:p w14:paraId="3DDE653D">
            <w:pPr>
              <w:numPr>
                <w:ilvl w:val="0"/>
                <w:numId w:val="1"/>
              </w:num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朱有志、肖卫：《</w:t>
            </w:r>
            <w:r>
              <w:rPr>
                <w:rFonts w:hint="eastAsia"/>
                <w:kern w:val="0"/>
                <w:szCs w:val="21"/>
                <w:lang w:eastAsia="zh-CN"/>
              </w:rPr>
              <w:t>“</w:t>
            </w:r>
            <w:r>
              <w:rPr>
                <w:rFonts w:hint="eastAsia"/>
                <w:kern w:val="0"/>
                <w:szCs w:val="21"/>
              </w:rPr>
              <w:t>石墨烯</w:t>
            </w:r>
            <w:r>
              <w:rPr>
                <w:rFonts w:hint="eastAsia"/>
                <w:kern w:val="0"/>
                <w:szCs w:val="21"/>
                <w:lang w:val="en-US" w:eastAsia="zh-CN"/>
              </w:rPr>
              <w:t>+</w:t>
            </w:r>
            <w:r>
              <w:rPr>
                <w:rFonts w:hint="eastAsia"/>
                <w:kern w:val="0"/>
                <w:szCs w:val="21"/>
              </w:rPr>
              <w:t>”</w:t>
            </w:r>
            <w:r>
              <w:rPr>
                <w:rFonts w:hint="eastAsia"/>
                <w:kern w:val="0"/>
                <w:szCs w:val="21"/>
                <w:lang w:val="en-US" w:eastAsia="zh-CN"/>
              </w:rPr>
              <w:t>--</w:t>
            </w:r>
            <w:r>
              <w:rPr>
                <w:rFonts w:hint="eastAsia"/>
                <w:kern w:val="0"/>
                <w:szCs w:val="21"/>
              </w:rPr>
              <w:t>三湘产业的未来之星</w:t>
            </w:r>
            <w:r>
              <w:rPr>
                <w:rFonts w:hint="eastAsia"/>
                <w:color w:val="000000" w:themeColor="text1"/>
                <w:szCs w:val="21"/>
                <w:lang w:val="en-US" w:eastAsia="zh-CN"/>
                <w14:textFill>
                  <w14:solidFill>
                    <w14:schemeClr w14:val="tx1"/>
                  </w14:solidFill>
                </w14:textFill>
              </w:rPr>
              <w:t>》，《湖南日报》2016年1月第10版，计50分。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2353</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369</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DAAB3C0">
            <w:pPr>
              <w:adjustRightInd w:val="0"/>
              <w:snapToGrid w:val="0"/>
              <w:spacing w:line="276" w:lineRule="auto"/>
              <w:ind w:firstLine="630" w:firstLineChars="300"/>
              <w:rPr>
                <w:rFonts w:hint="eastAsia" w:eastAsia="宋体"/>
                <w:color w:val="auto"/>
                <w:szCs w:val="21"/>
                <w:lang w:val="en-US" w:eastAsia="zh-CN"/>
              </w:rPr>
            </w:pPr>
            <w:r>
              <w:rPr>
                <w:rFonts w:hint="eastAsia"/>
                <w:color w:val="auto"/>
                <w:szCs w:val="21"/>
                <w:lang w:val="en-US" w:eastAsia="zh-CN"/>
              </w:rPr>
              <w:t>无</w:t>
            </w:r>
          </w:p>
        </w:tc>
        <w:tc>
          <w:tcPr>
            <w:tcW w:w="1200" w:type="dxa"/>
            <w:vAlign w:val="center"/>
          </w:tcPr>
          <w:p w14:paraId="4E400331">
            <w:pPr>
              <w:adjustRightInd w:val="0"/>
              <w:snapToGrid w:val="0"/>
              <w:spacing w:line="276" w:lineRule="auto"/>
              <w:jc w:val="center"/>
              <w:rPr>
                <w:szCs w:val="21"/>
              </w:rPr>
            </w:pP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ind w:firstLine="630" w:firstLineChars="300"/>
              <w:rPr>
                <w:color w:val="auto"/>
                <w:szCs w:val="21"/>
              </w:rPr>
            </w:pPr>
            <w:r>
              <w:rPr>
                <w:rFonts w:hint="eastAsia"/>
                <w:color w:val="auto"/>
                <w:szCs w:val="21"/>
                <w:lang w:val="en-US" w:eastAsia="zh-CN"/>
              </w:rPr>
              <w:t>无</w:t>
            </w:r>
          </w:p>
        </w:tc>
        <w:tc>
          <w:tcPr>
            <w:tcW w:w="1200" w:type="dxa"/>
            <w:vAlign w:val="center"/>
          </w:tcPr>
          <w:p w14:paraId="46AE610D">
            <w:pPr>
              <w:adjustRightInd w:val="0"/>
              <w:snapToGrid w:val="0"/>
              <w:spacing w:line="276" w:lineRule="auto"/>
              <w:jc w:val="center"/>
              <w:rPr>
                <w:szCs w:val="21"/>
              </w:rPr>
            </w:pP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ind w:firstLine="630" w:firstLineChars="300"/>
              <w:rPr>
                <w:color w:val="auto"/>
                <w:szCs w:val="21"/>
              </w:rPr>
            </w:pPr>
            <w:r>
              <w:rPr>
                <w:rFonts w:hint="eastAsia"/>
                <w:color w:val="auto"/>
                <w:szCs w:val="21"/>
                <w:lang w:val="en-US" w:eastAsia="zh-CN"/>
              </w:rPr>
              <w:t>无</w:t>
            </w:r>
          </w:p>
        </w:tc>
        <w:tc>
          <w:tcPr>
            <w:tcW w:w="1200" w:type="dxa"/>
            <w:vAlign w:val="center"/>
          </w:tcPr>
          <w:p w14:paraId="40ED6E66">
            <w:pPr>
              <w:adjustRightInd w:val="0"/>
              <w:snapToGrid w:val="0"/>
              <w:spacing w:line="276" w:lineRule="auto"/>
              <w:jc w:val="center"/>
              <w:rPr>
                <w:szCs w:val="21"/>
              </w:rPr>
            </w:pPr>
          </w:p>
        </w:tc>
        <w:tc>
          <w:tcPr>
            <w:tcW w:w="1274" w:type="dxa"/>
            <w:vMerge w:val="continue"/>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1D70379D">
            <w:pPr>
              <w:numPr>
                <w:ilvl w:val="0"/>
                <w:numId w:val="2"/>
              </w:numPr>
              <w:adjustRightInd w:val="0"/>
              <w:snapToGrid w:val="0"/>
              <w:spacing w:line="276" w:lineRule="auto"/>
              <w:rPr>
                <w:rFonts w:hint="default"/>
                <w:color w:val="auto"/>
                <w:szCs w:val="21"/>
                <w:lang w:val="en-US" w:eastAsia="zh-CN"/>
              </w:rPr>
            </w:pPr>
            <w:r>
              <w:rPr>
                <w:rFonts w:hint="eastAsia" w:asciiTheme="minorEastAsia" w:hAnsiTheme="minorEastAsia" w:eastAsiaTheme="minorEastAsia"/>
                <w:color w:val="auto"/>
                <w:szCs w:val="21"/>
                <w:lang w:val="en-US" w:eastAsia="zh-CN"/>
              </w:rPr>
              <w:t>肖卫</w:t>
            </w:r>
            <w:r>
              <w:rPr>
                <w:rFonts w:hint="eastAsia"/>
                <w:color w:val="auto"/>
                <w:szCs w:val="21"/>
              </w:rPr>
              <w:t>，国家社科基金重点项目，16AJL005</w:t>
            </w:r>
            <w:r>
              <w:rPr>
                <w:rFonts w:hint="eastAsia"/>
                <w:color w:val="auto"/>
                <w:szCs w:val="21"/>
                <w:lang w:eastAsia="zh-CN"/>
              </w:rPr>
              <w:t>，</w:t>
            </w:r>
            <w:r>
              <w:rPr>
                <w:rFonts w:hint="eastAsia"/>
                <w:color w:val="auto"/>
                <w:szCs w:val="21"/>
              </w:rPr>
              <w:t>“发展中大国多元经济结构转型：理论重构与实证研究”</w:t>
            </w:r>
            <w:r>
              <w:rPr>
                <w:rFonts w:hint="eastAsia"/>
                <w:color w:val="auto"/>
                <w:szCs w:val="21"/>
                <w:lang w:eastAsia="zh-CN"/>
              </w:rPr>
              <w:t>，</w:t>
            </w:r>
            <w:r>
              <w:rPr>
                <w:rFonts w:hint="eastAsia"/>
                <w:color w:val="auto"/>
                <w:szCs w:val="21"/>
              </w:rPr>
              <w:t>2016-2020</w:t>
            </w:r>
            <w:r>
              <w:rPr>
                <w:rFonts w:hint="eastAsia"/>
                <w:color w:val="auto"/>
                <w:szCs w:val="21"/>
                <w:lang w:eastAsia="zh-CN"/>
              </w:rPr>
              <w:t>，</w:t>
            </w:r>
            <w:r>
              <w:rPr>
                <w:rFonts w:hint="eastAsia"/>
                <w:color w:val="auto"/>
                <w:szCs w:val="21"/>
                <w:lang w:val="en-US" w:eastAsia="zh-CN"/>
              </w:rPr>
              <w:t>35万，结题，主持，计300分；</w:t>
            </w:r>
          </w:p>
          <w:p w14:paraId="5A94A2EA">
            <w:pPr>
              <w:numPr>
                <w:ilvl w:val="0"/>
                <w:numId w:val="2"/>
              </w:numPr>
              <w:adjustRightInd w:val="0"/>
              <w:snapToGrid w:val="0"/>
              <w:spacing w:line="276" w:lineRule="auto"/>
              <w:rPr>
                <w:rFonts w:hint="default"/>
                <w:color w:val="auto"/>
                <w:szCs w:val="21"/>
                <w:lang w:val="en-US" w:eastAsia="zh-CN"/>
              </w:rPr>
            </w:pPr>
            <w:r>
              <w:rPr>
                <w:rFonts w:hint="eastAsia" w:asciiTheme="minorEastAsia" w:hAnsiTheme="minorEastAsia" w:eastAsiaTheme="minorEastAsia"/>
                <w:color w:val="auto"/>
                <w:szCs w:val="21"/>
                <w:lang w:val="en-US" w:eastAsia="zh-CN"/>
              </w:rPr>
              <w:t>肖卫</w:t>
            </w:r>
            <w:r>
              <w:rPr>
                <w:rFonts w:hint="eastAsia"/>
                <w:color w:val="auto"/>
                <w:szCs w:val="21"/>
              </w:rPr>
              <w:t>，国家社科基金</w:t>
            </w:r>
            <w:r>
              <w:rPr>
                <w:rFonts w:hint="eastAsia"/>
                <w:color w:val="auto"/>
                <w:szCs w:val="21"/>
                <w:lang w:val="en-US" w:eastAsia="zh-CN"/>
              </w:rPr>
              <w:t>一般</w:t>
            </w:r>
            <w:r>
              <w:rPr>
                <w:rFonts w:hint="eastAsia"/>
                <w:color w:val="auto"/>
                <w:szCs w:val="21"/>
              </w:rPr>
              <w:t>项目，11BJL037</w:t>
            </w:r>
            <w:r>
              <w:rPr>
                <w:rFonts w:hint="eastAsia"/>
                <w:color w:val="auto"/>
                <w:szCs w:val="21"/>
                <w:lang w:eastAsia="zh-CN"/>
              </w:rPr>
              <w:t>，</w:t>
            </w:r>
            <w:r>
              <w:rPr>
                <w:rFonts w:hint="eastAsia"/>
                <w:color w:val="auto"/>
                <w:szCs w:val="21"/>
              </w:rPr>
              <w:t>“一般均衡下农业发展、二元经济结构转化与经济增长研究</w:t>
            </w:r>
            <w:r>
              <w:rPr>
                <w:rFonts w:hint="eastAsia"/>
                <w:color w:val="auto"/>
                <w:szCs w:val="21"/>
                <w:lang w:eastAsia="zh-CN"/>
              </w:rPr>
              <w:t>”，</w:t>
            </w:r>
            <w:r>
              <w:rPr>
                <w:rFonts w:hint="eastAsia"/>
                <w:color w:val="auto"/>
                <w:szCs w:val="21"/>
              </w:rPr>
              <w:t>2011-2014</w:t>
            </w:r>
            <w:r>
              <w:rPr>
                <w:rFonts w:hint="eastAsia"/>
                <w:color w:val="auto"/>
                <w:szCs w:val="21"/>
                <w:lang w:eastAsia="zh-CN"/>
              </w:rPr>
              <w:t>，</w:t>
            </w:r>
            <w:r>
              <w:rPr>
                <w:rFonts w:hint="eastAsia"/>
                <w:color w:val="auto"/>
                <w:szCs w:val="21"/>
                <w:lang w:val="en-US" w:eastAsia="zh-CN"/>
              </w:rPr>
              <w:t>20万，结题，主持，计300分；</w:t>
            </w:r>
          </w:p>
          <w:p w14:paraId="6B12AD6F">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肖卫，</w:t>
            </w:r>
            <w:r>
              <w:rPr>
                <w:rFonts w:hint="eastAsia"/>
                <w:color w:val="auto"/>
                <w:szCs w:val="21"/>
              </w:rPr>
              <w:t>中国博士后</w:t>
            </w:r>
            <w:r>
              <w:rPr>
                <w:rFonts w:hint="eastAsia"/>
                <w:color w:val="auto"/>
                <w:szCs w:val="21"/>
                <w:lang w:val="en-US" w:eastAsia="zh-CN"/>
              </w:rPr>
              <w:t>科学基金</w:t>
            </w:r>
            <w:r>
              <w:rPr>
                <w:rFonts w:hint="eastAsia"/>
                <w:color w:val="auto"/>
                <w:szCs w:val="21"/>
              </w:rPr>
              <w:t>特别人才资助</w:t>
            </w:r>
            <w:r>
              <w:rPr>
                <w:rFonts w:hint="eastAsia"/>
                <w:color w:val="auto"/>
                <w:szCs w:val="21"/>
                <w:lang w:eastAsia="zh-CN"/>
              </w:rPr>
              <w:t>，</w:t>
            </w:r>
            <w:r>
              <w:rPr>
                <w:rFonts w:hint="eastAsia"/>
                <w:color w:val="auto"/>
                <w:szCs w:val="21"/>
              </w:rPr>
              <w:t>2013T60235</w:t>
            </w:r>
            <w:r>
              <w:rPr>
                <w:rFonts w:hint="eastAsia"/>
                <w:color w:val="auto"/>
                <w:szCs w:val="21"/>
                <w:lang w:eastAsia="zh-CN"/>
              </w:rPr>
              <w:t>，</w:t>
            </w:r>
            <w:r>
              <w:rPr>
                <w:rFonts w:hint="eastAsia"/>
                <w:color w:val="auto"/>
                <w:szCs w:val="21"/>
              </w:rPr>
              <w:t>“劳动力流动过程中中国城乡区域经济格局演化研究”，2013-2016</w:t>
            </w:r>
            <w:r>
              <w:rPr>
                <w:rFonts w:hint="eastAsia"/>
                <w:color w:val="auto"/>
                <w:szCs w:val="21"/>
                <w:lang w:eastAsia="zh-CN"/>
              </w:rPr>
              <w:t>，</w:t>
            </w:r>
            <w:r>
              <w:rPr>
                <w:rFonts w:hint="eastAsia"/>
                <w:color w:val="auto"/>
                <w:szCs w:val="21"/>
                <w:lang w:val="en-US" w:eastAsia="zh-CN"/>
              </w:rPr>
              <w:t>15万元，结题，主持，计150分；</w:t>
            </w:r>
          </w:p>
          <w:p w14:paraId="02430B0C">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肖卫，</w:t>
            </w:r>
            <w:r>
              <w:rPr>
                <w:rFonts w:hint="eastAsia"/>
                <w:color w:val="auto"/>
                <w:szCs w:val="21"/>
              </w:rPr>
              <w:t>中国博士后</w:t>
            </w:r>
            <w:r>
              <w:rPr>
                <w:rFonts w:hint="eastAsia"/>
                <w:color w:val="auto"/>
                <w:szCs w:val="21"/>
                <w:lang w:val="en-US" w:eastAsia="zh-CN"/>
              </w:rPr>
              <w:t>科学基金</w:t>
            </w:r>
            <w:r>
              <w:rPr>
                <w:rFonts w:hint="eastAsia"/>
                <w:color w:val="auto"/>
                <w:szCs w:val="21"/>
              </w:rPr>
              <w:t>特别人才资助</w:t>
            </w:r>
            <w:r>
              <w:rPr>
                <w:rFonts w:hint="eastAsia"/>
                <w:color w:val="auto"/>
                <w:szCs w:val="21"/>
                <w:lang w:eastAsia="zh-CN"/>
              </w:rPr>
              <w:t>，</w:t>
            </w:r>
            <w:r>
              <w:rPr>
                <w:rFonts w:hint="eastAsia"/>
                <w:color w:val="auto"/>
                <w:szCs w:val="21"/>
              </w:rPr>
              <w:t>2012M510671</w:t>
            </w:r>
            <w:r>
              <w:rPr>
                <w:rFonts w:hint="eastAsia"/>
                <w:color w:val="auto"/>
                <w:szCs w:val="21"/>
                <w:lang w:eastAsia="zh-CN"/>
              </w:rPr>
              <w:t>，</w:t>
            </w:r>
            <w:r>
              <w:rPr>
                <w:rFonts w:hint="eastAsia"/>
                <w:color w:val="auto"/>
                <w:szCs w:val="21"/>
              </w:rPr>
              <w:t>“劳动力分流与城乡区域经济格局演进研究”，201</w:t>
            </w:r>
            <w:r>
              <w:rPr>
                <w:rFonts w:hint="eastAsia"/>
                <w:color w:val="auto"/>
                <w:szCs w:val="21"/>
                <w:lang w:val="en-US" w:eastAsia="zh-CN"/>
              </w:rPr>
              <w:t>2</w:t>
            </w:r>
            <w:r>
              <w:rPr>
                <w:rFonts w:hint="eastAsia"/>
                <w:color w:val="auto"/>
                <w:szCs w:val="21"/>
              </w:rPr>
              <w:t>-201</w:t>
            </w:r>
            <w:r>
              <w:rPr>
                <w:rFonts w:hint="eastAsia"/>
                <w:color w:val="auto"/>
                <w:szCs w:val="21"/>
                <w:lang w:val="en-US" w:eastAsia="zh-CN"/>
              </w:rPr>
              <w:t>5</w:t>
            </w:r>
            <w:r>
              <w:rPr>
                <w:rFonts w:hint="eastAsia"/>
                <w:color w:val="auto"/>
                <w:szCs w:val="21"/>
                <w:lang w:eastAsia="zh-CN"/>
              </w:rPr>
              <w:t>，</w:t>
            </w:r>
            <w:r>
              <w:rPr>
                <w:rFonts w:hint="eastAsia"/>
                <w:color w:val="auto"/>
                <w:szCs w:val="21"/>
                <w:lang w:val="en-US" w:eastAsia="zh-CN"/>
              </w:rPr>
              <w:t>5万元，结题，主持，计150分；</w:t>
            </w:r>
          </w:p>
          <w:p w14:paraId="4CB3AED0">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肖卫，</w:t>
            </w:r>
            <w:r>
              <w:rPr>
                <w:rFonts w:hint="eastAsia"/>
                <w:color w:val="auto"/>
                <w:szCs w:val="21"/>
              </w:rPr>
              <w:t>教育部人文社科基金青年项目</w:t>
            </w:r>
            <w:r>
              <w:rPr>
                <w:rFonts w:hint="eastAsia"/>
                <w:color w:val="auto"/>
                <w:szCs w:val="21"/>
                <w:lang w:eastAsia="zh-CN"/>
              </w:rPr>
              <w:t>，</w:t>
            </w:r>
            <w:r>
              <w:rPr>
                <w:rFonts w:hint="eastAsia"/>
                <w:color w:val="auto"/>
                <w:szCs w:val="21"/>
              </w:rPr>
              <w:t>12YJC790208</w:t>
            </w:r>
            <w:r>
              <w:rPr>
                <w:rFonts w:hint="eastAsia"/>
                <w:color w:val="auto"/>
                <w:szCs w:val="21"/>
                <w:lang w:eastAsia="zh-CN"/>
              </w:rPr>
              <w:t>，</w:t>
            </w:r>
            <w:r>
              <w:rPr>
                <w:rFonts w:hint="eastAsia"/>
                <w:color w:val="auto"/>
                <w:szCs w:val="21"/>
              </w:rPr>
              <w:t>“城乡一体化过程中农村公共物品供给机制与政策研究”</w:t>
            </w:r>
            <w:r>
              <w:rPr>
                <w:rFonts w:hint="eastAsia"/>
                <w:color w:val="auto"/>
                <w:szCs w:val="21"/>
                <w:lang w:eastAsia="zh-CN"/>
              </w:rPr>
              <w:t>，</w:t>
            </w:r>
            <w:r>
              <w:rPr>
                <w:rFonts w:hint="eastAsia"/>
                <w:color w:val="auto"/>
                <w:szCs w:val="21"/>
              </w:rPr>
              <w:t>2012-2018</w:t>
            </w:r>
            <w:r>
              <w:rPr>
                <w:rFonts w:hint="eastAsia"/>
                <w:color w:val="auto"/>
                <w:szCs w:val="21"/>
                <w:lang w:eastAsia="zh-CN"/>
              </w:rPr>
              <w:t>，</w:t>
            </w:r>
            <w:r>
              <w:rPr>
                <w:rFonts w:hint="eastAsia"/>
                <w:color w:val="auto"/>
                <w:szCs w:val="21"/>
                <w:lang w:val="en-US" w:eastAsia="zh-CN"/>
              </w:rPr>
              <w:t>8万元，结题，主持，计150分；</w:t>
            </w:r>
          </w:p>
          <w:p w14:paraId="7BBD8341">
            <w:pPr>
              <w:numPr>
                <w:ilvl w:val="0"/>
                <w:numId w:val="2"/>
              </w:numPr>
              <w:adjustRightInd w:val="0"/>
              <w:snapToGrid w:val="0"/>
              <w:spacing w:line="276" w:lineRule="auto"/>
              <w:rPr>
                <w:rFonts w:hint="default"/>
                <w:color w:val="auto"/>
                <w:szCs w:val="21"/>
                <w:lang w:val="en-US" w:eastAsia="zh-CN"/>
              </w:rPr>
            </w:pPr>
            <w:r>
              <w:rPr>
                <w:rFonts w:hint="eastAsia" w:asciiTheme="minorEastAsia" w:hAnsiTheme="minorEastAsia" w:eastAsiaTheme="minorEastAsia"/>
                <w:color w:val="auto"/>
                <w:szCs w:val="21"/>
                <w:lang w:val="en-US" w:eastAsia="zh-CN"/>
              </w:rPr>
              <w:t>肖卫</w:t>
            </w:r>
            <w:r>
              <w:rPr>
                <w:rFonts w:hint="eastAsia"/>
                <w:color w:val="auto"/>
                <w:szCs w:val="21"/>
              </w:rPr>
              <w:t>，国家社科基金重</w:t>
            </w:r>
            <w:r>
              <w:rPr>
                <w:rFonts w:hint="eastAsia"/>
                <w:color w:val="auto"/>
                <w:szCs w:val="21"/>
                <w:lang w:val="en-US" w:eastAsia="zh-CN"/>
              </w:rPr>
              <w:t>大</w:t>
            </w:r>
            <w:r>
              <w:rPr>
                <w:rFonts w:hint="eastAsia"/>
                <w:color w:val="auto"/>
                <w:szCs w:val="21"/>
              </w:rPr>
              <w:t>项目</w:t>
            </w:r>
            <w:r>
              <w:rPr>
                <w:rFonts w:hint="eastAsia"/>
                <w:color w:val="auto"/>
                <w:szCs w:val="21"/>
                <w:lang w:val="en-US" w:eastAsia="zh-CN"/>
              </w:rPr>
              <w:t>“加强农业基础地位和确保国家粮食安全战略研究”（08&amp;ZD016）子课题，同时立项</w:t>
            </w:r>
            <w:r>
              <w:rPr>
                <w:rFonts w:hint="eastAsia"/>
                <w:color w:val="auto"/>
                <w:szCs w:val="21"/>
              </w:rPr>
              <w:t>湖南省社科基金重点项目09ZDB03</w:t>
            </w:r>
            <w:r>
              <w:rPr>
                <w:rFonts w:hint="eastAsia"/>
                <w:color w:val="auto"/>
                <w:szCs w:val="21"/>
                <w:lang w:eastAsia="zh-CN"/>
              </w:rPr>
              <w:t>，</w:t>
            </w:r>
            <w:r>
              <w:rPr>
                <w:rFonts w:hint="eastAsia"/>
                <w:color w:val="auto"/>
                <w:szCs w:val="21"/>
              </w:rPr>
              <w:t>“农业基础地位与国家粮食安全的内涵特征及其二者之间的关系研究”</w:t>
            </w:r>
            <w:r>
              <w:rPr>
                <w:rFonts w:hint="eastAsia"/>
                <w:color w:val="auto"/>
                <w:szCs w:val="21"/>
                <w:lang w:eastAsia="zh-CN"/>
              </w:rPr>
              <w:t>，</w:t>
            </w:r>
            <w:r>
              <w:rPr>
                <w:rFonts w:hint="eastAsia"/>
                <w:color w:val="auto"/>
                <w:szCs w:val="21"/>
              </w:rPr>
              <w:t>2008-201</w:t>
            </w:r>
            <w:r>
              <w:rPr>
                <w:rFonts w:hint="eastAsia"/>
                <w:color w:val="auto"/>
                <w:szCs w:val="21"/>
                <w:lang w:val="en-US" w:eastAsia="zh-CN"/>
              </w:rPr>
              <w:t>3</w:t>
            </w:r>
            <w:r>
              <w:rPr>
                <w:rFonts w:hint="eastAsia"/>
                <w:color w:val="auto"/>
                <w:szCs w:val="21"/>
                <w:lang w:eastAsia="zh-CN"/>
              </w:rPr>
              <w:t>，</w:t>
            </w:r>
            <w:r>
              <w:rPr>
                <w:rFonts w:hint="eastAsia"/>
                <w:color w:val="auto"/>
                <w:szCs w:val="21"/>
                <w:lang w:val="en-US" w:eastAsia="zh-CN"/>
              </w:rPr>
              <w:t>8万，结题，主持，计150分；</w:t>
            </w:r>
          </w:p>
          <w:p w14:paraId="17B5778C">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肖卫，</w:t>
            </w:r>
            <w:r>
              <w:rPr>
                <w:rFonts w:hint="eastAsia"/>
                <w:color w:val="auto"/>
                <w:szCs w:val="21"/>
              </w:rPr>
              <w:t>湖南省软科学项目</w:t>
            </w:r>
            <w:r>
              <w:rPr>
                <w:rFonts w:hint="eastAsia"/>
                <w:color w:val="auto"/>
                <w:szCs w:val="21"/>
                <w:lang w:eastAsia="zh-CN"/>
              </w:rPr>
              <w:t>，</w:t>
            </w:r>
            <w:r>
              <w:rPr>
                <w:rFonts w:hint="eastAsia"/>
                <w:color w:val="auto"/>
                <w:szCs w:val="21"/>
              </w:rPr>
              <w:t> 2014ZK3050</w:t>
            </w:r>
            <w:r>
              <w:rPr>
                <w:rFonts w:hint="eastAsia"/>
                <w:color w:val="auto"/>
                <w:szCs w:val="21"/>
                <w:lang w:eastAsia="zh-CN"/>
              </w:rPr>
              <w:t>，</w:t>
            </w:r>
            <w:r>
              <w:rPr>
                <w:rFonts w:hint="eastAsia"/>
                <w:color w:val="auto"/>
                <w:szCs w:val="21"/>
              </w:rPr>
              <w:t>“推进湖南农业现代化与新型城镇化协调发展研究”</w:t>
            </w:r>
            <w:r>
              <w:rPr>
                <w:rFonts w:hint="eastAsia"/>
                <w:color w:val="auto"/>
                <w:szCs w:val="21"/>
                <w:lang w:eastAsia="zh-CN"/>
              </w:rPr>
              <w:t>，</w:t>
            </w:r>
            <w:r>
              <w:rPr>
                <w:rFonts w:hint="eastAsia"/>
                <w:color w:val="auto"/>
                <w:szCs w:val="21"/>
              </w:rPr>
              <w:t>2014-2015</w:t>
            </w:r>
            <w:r>
              <w:rPr>
                <w:rFonts w:hint="eastAsia"/>
                <w:color w:val="auto"/>
                <w:szCs w:val="21"/>
                <w:lang w:eastAsia="zh-CN"/>
              </w:rPr>
              <w:t>，</w:t>
            </w:r>
            <w:r>
              <w:rPr>
                <w:rFonts w:hint="eastAsia"/>
                <w:color w:val="auto"/>
                <w:szCs w:val="21"/>
                <w:lang w:val="en-US" w:eastAsia="zh-CN"/>
              </w:rPr>
              <w:t>4万元，结题，主持，计50分；</w:t>
            </w:r>
          </w:p>
          <w:p w14:paraId="616B78D4">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肖卫，湖南省委统战部，2020006，“</w:t>
            </w:r>
            <w:r>
              <w:rPr>
                <w:rFonts w:hint="eastAsia"/>
                <w:kern w:val="0"/>
                <w:szCs w:val="21"/>
              </w:rPr>
              <w:t>对新时代我省民营经济统战工作的思考</w:t>
            </w:r>
            <w:r>
              <w:rPr>
                <w:rFonts w:hint="eastAsia"/>
                <w:color w:val="auto"/>
                <w:szCs w:val="21"/>
                <w:lang w:val="en-US" w:eastAsia="zh-CN"/>
              </w:rPr>
              <w:t>”，2021年3月，结题，主持，计120分；</w:t>
            </w:r>
          </w:p>
          <w:p w14:paraId="6135A862">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肖卫，怀化市社科评审委员会重大课题，</w:t>
            </w:r>
            <w:r>
              <w:rPr>
                <w:rFonts w:hint="eastAsia"/>
                <w:color w:val="auto"/>
                <w:szCs w:val="21"/>
              </w:rPr>
              <w:t>HSP2024ZDA01）</w:t>
            </w:r>
            <w:r>
              <w:rPr>
                <w:rFonts w:hint="eastAsia"/>
                <w:color w:val="auto"/>
                <w:szCs w:val="21"/>
                <w:lang w:val="en-US" w:eastAsia="zh-CN"/>
              </w:rPr>
              <w:t>，</w:t>
            </w:r>
            <w:r>
              <w:rPr>
                <w:rFonts w:hint="eastAsia"/>
                <w:color w:val="auto"/>
                <w:szCs w:val="21"/>
              </w:rPr>
              <w:t>“发展农业农村新质生产力推进怀化乡村全面振兴研究”</w:t>
            </w:r>
            <w:r>
              <w:rPr>
                <w:rFonts w:hint="eastAsia"/>
                <w:color w:val="auto"/>
                <w:szCs w:val="21"/>
                <w:lang w:eastAsia="zh-CN"/>
              </w:rPr>
              <w:t>，</w:t>
            </w:r>
            <w:r>
              <w:rPr>
                <w:rFonts w:hint="eastAsia"/>
                <w:color w:val="auto"/>
                <w:szCs w:val="21"/>
                <w:lang w:val="en-US" w:eastAsia="zh-CN"/>
              </w:rPr>
              <w:t>2024</w:t>
            </w:r>
            <w:r>
              <w:rPr>
                <w:rFonts w:hint="eastAsia"/>
                <w:color w:val="auto"/>
                <w:szCs w:val="21"/>
                <w:lang w:eastAsia="zh-CN"/>
              </w:rPr>
              <w:t>，</w:t>
            </w:r>
            <w:r>
              <w:rPr>
                <w:rFonts w:hint="eastAsia"/>
                <w:color w:val="auto"/>
                <w:szCs w:val="21"/>
                <w:lang w:val="en-US" w:eastAsia="zh-CN"/>
              </w:rPr>
              <w:t>2万元，结题，主持，计15分；</w:t>
            </w:r>
          </w:p>
          <w:p w14:paraId="475A6745">
            <w:pPr>
              <w:numPr>
                <w:ilvl w:val="0"/>
                <w:numId w:val="2"/>
              </w:numPr>
              <w:adjustRightInd w:val="0"/>
              <w:snapToGrid w:val="0"/>
              <w:spacing w:line="276" w:lineRule="auto"/>
              <w:rPr>
                <w:rFonts w:hint="default"/>
                <w:color w:val="auto"/>
                <w:szCs w:val="21"/>
                <w:lang w:val="en-US" w:eastAsia="zh-CN"/>
              </w:rPr>
            </w:pPr>
            <w:r>
              <w:rPr>
                <w:rFonts w:hint="eastAsia" w:asciiTheme="minorEastAsia" w:hAnsiTheme="minorEastAsia" w:eastAsiaTheme="minorEastAsia"/>
                <w:color w:val="auto"/>
                <w:szCs w:val="21"/>
                <w:lang w:val="en-US" w:eastAsia="zh-CN"/>
              </w:rPr>
              <w:t>肖卫</w:t>
            </w:r>
            <w:r>
              <w:rPr>
                <w:rFonts w:hint="eastAsia"/>
                <w:color w:val="auto"/>
                <w:szCs w:val="21"/>
              </w:rPr>
              <w:t>，国家社科基金</w:t>
            </w:r>
            <w:r>
              <w:rPr>
                <w:rFonts w:hint="eastAsia"/>
                <w:color w:val="auto"/>
                <w:szCs w:val="21"/>
                <w:lang w:val="en-US" w:eastAsia="zh-CN"/>
              </w:rPr>
              <w:t>一般</w:t>
            </w:r>
            <w:r>
              <w:rPr>
                <w:rFonts w:hint="eastAsia"/>
                <w:color w:val="auto"/>
                <w:szCs w:val="21"/>
              </w:rPr>
              <w:t>项目</w:t>
            </w:r>
            <w:r>
              <w:rPr>
                <w:rFonts w:hint="eastAsia"/>
                <w:color w:val="auto"/>
                <w:szCs w:val="21"/>
                <w:lang w:eastAsia="zh-CN"/>
              </w:rPr>
              <w:t>（</w:t>
            </w:r>
            <w:r>
              <w:rPr>
                <w:rFonts w:hint="eastAsia"/>
                <w:color w:val="auto"/>
                <w:szCs w:val="21"/>
                <w:lang w:val="en-US" w:eastAsia="zh-CN"/>
              </w:rPr>
              <w:t>全国教育科学规划专项</w:t>
            </w:r>
            <w:r>
              <w:rPr>
                <w:rFonts w:hint="eastAsia"/>
                <w:color w:val="auto"/>
                <w:szCs w:val="21"/>
                <w:lang w:eastAsia="zh-CN"/>
              </w:rPr>
              <w:t>）</w:t>
            </w:r>
            <w:r>
              <w:rPr>
                <w:rFonts w:hint="eastAsia"/>
                <w:color w:val="auto"/>
                <w:szCs w:val="21"/>
              </w:rPr>
              <w:t>，</w:t>
            </w:r>
            <w:r>
              <w:rPr>
                <w:rFonts w:hint="eastAsia"/>
                <w:color w:val="auto"/>
                <w:szCs w:val="21"/>
                <w:lang w:val="en-US" w:eastAsia="zh-CN"/>
              </w:rPr>
              <w:t>BKA250187</w:t>
            </w:r>
            <w:r>
              <w:rPr>
                <w:rFonts w:hint="eastAsia"/>
                <w:color w:val="auto"/>
                <w:szCs w:val="21"/>
              </w:rPr>
              <w:t>）</w:t>
            </w:r>
            <w:r>
              <w:rPr>
                <w:rFonts w:hint="eastAsia"/>
                <w:color w:val="auto"/>
                <w:szCs w:val="21"/>
                <w:lang w:eastAsia="zh-CN"/>
              </w:rPr>
              <w:t>，</w:t>
            </w:r>
            <w:r>
              <w:rPr>
                <w:rFonts w:hint="eastAsia"/>
                <w:color w:val="auto"/>
                <w:szCs w:val="21"/>
              </w:rPr>
              <w:t>“</w:t>
            </w:r>
            <w:r>
              <w:rPr>
                <w:rFonts w:hint="eastAsia"/>
                <w:color w:val="auto"/>
                <w:szCs w:val="21"/>
                <w:lang w:val="en-US" w:eastAsia="zh-CN"/>
              </w:rPr>
              <w:t>农民大学生培养计划赋能乡村振兴：政策效应、作用机理与优化路径研究</w:t>
            </w:r>
            <w:r>
              <w:rPr>
                <w:rFonts w:hint="eastAsia"/>
                <w:color w:val="auto"/>
                <w:szCs w:val="21"/>
              </w:rPr>
              <w:t>”</w:t>
            </w:r>
            <w:r>
              <w:rPr>
                <w:rFonts w:hint="eastAsia"/>
                <w:color w:val="auto"/>
                <w:szCs w:val="21"/>
                <w:lang w:eastAsia="zh-CN"/>
              </w:rPr>
              <w:t>，</w:t>
            </w:r>
            <w:r>
              <w:rPr>
                <w:rFonts w:hint="eastAsia"/>
                <w:color w:val="auto"/>
                <w:szCs w:val="21"/>
              </w:rPr>
              <w:t>20</w:t>
            </w:r>
            <w:r>
              <w:rPr>
                <w:rFonts w:hint="eastAsia"/>
                <w:color w:val="auto"/>
                <w:szCs w:val="21"/>
                <w:lang w:val="en-US" w:eastAsia="zh-CN"/>
              </w:rPr>
              <w:t>25</w:t>
            </w:r>
            <w:r>
              <w:rPr>
                <w:rFonts w:hint="eastAsia"/>
                <w:color w:val="auto"/>
                <w:szCs w:val="21"/>
              </w:rPr>
              <w:t>-202</w:t>
            </w:r>
            <w:r>
              <w:rPr>
                <w:rFonts w:hint="eastAsia"/>
                <w:color w:val="auto"/>
                <w:szCs w:val="21"/>
                <w:lang w:val="en-US" w:eastAsia="zh-CN"/>
              </w:rPr>
              <w:t>7</w:t>
            </w:r>
            <w:r>
              <w:rPr>
                <w:rFonts w:hint="eastAsia"/>
                <w:color w:val="auto"/>
                <w:szCs w:val="21"/>
                <w:lang w:eastAsia="zh-CN"/>
              </w:rPr>
              <w:t>，</w:t>
            </w:r>
            <w:r>
              <w:rPr>
                <w:rFonts w:hint="eastAsia"/>
                <w:color w:val="auto"/>
                <w:szCs w:val="21"/>
                <w:lang w:val="en-US" w:eastAsia="zh-CN"/>
              </w:rPr>
              <w:t>20万，在研，主持，计300分；</w:t>
            </w:r>
          </w:p>
          <w:p w14:paraId="0DAA645D">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肖卫，</w:t>
            </w:r>
            <w:r>
              <w:rPr>
                <w:rFonts w:hint="eastAsia"/>
                <w:color w:val="auto"/>
                <w:szCs w:val="21"/>
              </w:rPr>
              <w:t>湖南省</w:t>
            </w:r>
            <w:r>
              <w:rPr>
                <w:rFonts w:hint="eastAsia"/>
                <w:color w:val="auto"/>
                <w:szCs w:val="21"/>
                <w:lang w:val="en-US" w:eastAsia="zh-CN"/>
              </w:rPr>
              <w:t>社科评审委员会课题，2025035，</w:t>
            </w:r>
            <w:r>
              <w:rPr>
                <w:rFonts w:hint="default"/>
                <w:color w:val="auto"/>
                <w:szCs w:val="21"/>
                <w:lang w:val="en-US" w:eastAsia="zh-CN"/>
              </w:rPr>
              <w:t>“抢抓历史机遇  建设种业强省——关于我省实施种业振兴行动的调研与思考”</w:t>
            </w:r>
            <w:r>
              <w:rPr>
                <w:rFonts w:hint="eastAsia"/>
                <w:color w:val="auto"/>
                <w:szCs w:val="21"/>
                <w:lang w:val="en-US" w:eastAsia="zh-CN"/>
              </w:rPr>
              <w:t>，2025</w:t>
            </w:r>
            <w:r>
              <w:rPr>
                <w:rFonts w:hint="eastAsia"/>
                <w:color w:val="auto"/>
                <w:szCs w:val="21"/>
                <w:lang w:eastAsia="zh-CN"/>
              </w:rPr>
              <w:t>，</w:t>
            </w:r>
            <w:r>
              <w:rPr>
                <w:rFonts w:hint="eastAsia"/>
                <w:color w:val="auto"/>
                <w:szCs w:val="21"/>
                <w:lang w:val="en-US" w:eastAsia="zh-CN"/>
              </w:rPr>
              <w:t>4万元，结题，主持，计80分；</w:t>
            </w:r>
          </w:p>
          <w:p w14:paraId="7287F98F">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肖卫，湖南开放大学重大课题，</w:t>
            </w:r>
            <w:r>
              <w:rPr>
                <w:rFonts w:hint="default"/>
                <w:color w:val="auto"/>
                <w:szCs w:val="21"/>
                <w:lang w:val="en-US" w:eastAsia="zh-CN"/>
              </w:rPr>
              <w:t>“湖南农民大学生培养计划助力农村集体经济发展研究”</w:t>
            </w:r>
            <w:r>
              <w:rPr>
                <w:rFonts w:hint="eastAsia"/>
                <w:color w:val="auto"/>
                <w:szCs w:val="21"/>
                <w:lang w:val="en-US" w:eastAsia="zh-CN"/>
              </w:rPr>
              <w:t>，2024</w:t>
            </w:r>
            <w:r>
              <w:rPr>
                <w:rFonts w:hint="eastAsia"/>
                <w:color w:val="auto"/>
                <w:szCs w:val="21"/>
                <w:lang w:eastAsia="zh-CN"/>
              </w:rPr>
              <w:t>，</w:t>
            </w:r>
            <w:r>
              <w:rPr>
                <w:rFonts w:hint="eastAsia"/>
                <w:color w:val="auto"/>
                <w:szCs w:val="21"/>
                <w:lang w:val="en-US" w:eastAsia="zh-CN"/>
              </w:rPr>
              <w:t>2万元，结题，主持，计15分；</w:t>
            </w:r>
          </w:p>
          <w:p w14:paraId="7E646FD3">
            <w:pPr>
              <w:numPr>
                <w:ilvl w:val="0"/>
                <w:numId w:val="2"/>
              </w:numPr>
              <w:adjustRightInd w:val="0"/>
              <w:snapToGrid w:val="0"/>
              <w:spacing w:line="276" w:lineRule="auto"/>
              <w:rPr>
                <w:rFonts w:hint="eastAsia"/>
                <w:color w:val="auto"/>
                <w:szCs w:val="21"/>
              </w:rPr>
            </w:pPr>
            <w:r>
              <w:rPr>
                <w:rFonts w:hint="eastAsia"/>
                <w:color w:val="auto"/>
                <w:szCs w:val="21"/>
                <w:lang w:val="en-US" w:eastAsia="zh-CN"/>
              </w:rPr>
              <w:t>朱有志，肖卫，湖南省社会科学院，“‘</w:t>
            </w:r>
            <w:r>
              <w:rPr>
                <w:rFonts w:hint="eastAsia"/>
                <w:kern w:val="0"/>
                <w:szCs w:val="21"/>
              </w:rPr>
              <w:t>石墨烯</w:t>
            </w:r>
            <w:r>
              <w:rPr>
                <w:rFonts w:hint="eastAsia"/>
                <w:kern w:val="0"/>
                <w:szCs w:val="21"/>
                <w:lang w:val="en-US" w:eastAsia="zh-CN"/>
              </w:rPr>
              <w:t>+</w:t>
            </w:r>
            <w:r>
              <w:rPr>
                <w:rFonts w:hint="eastAsia"/>
                <w:color w:val="auto"/>
                <w:szCs w:val="21"/>
                <w:lang w:val="en-US" w:eastAsia="zh-CN"/>
              </w:rPr>
              <w:t>’</w:t>
            </w:r>
            <w:r>
              <w:rPr>
                <w:rFonts w:hint="eastAsia"/>
                <w:kern w:val="0"/>
                <w:szCs w:val="21"/>
                <w:lang w:val="en-US" w:eastAsia="zh-CN"/>
              </w:rPr>
              <w:t>--</w:t>
            </w:r>
            <w:r>
              <w:rPr>
                <w:rFonts w:hint="eastAsia"/>
                <w:kern w:val="0"/>
                <w:szCs w:val="21"/>
              </w:rPr>
              <w:t>三湘产业的未来之星</w:t>
            </w:r>
            <w:r>
              <w:rPr>
                <w:rFonts w:hint="eastAsia"/>
                <w:color w:val="auto"/>
                <w:szCs w:val="21"/>
                <w:lang w:val="en-US" w:eastAsia="zh-CN"/>
              </w:rPr>
              <w:t>”，2021年3月，结题，第二，计50分。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1765</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572.4</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BE2BD90">
            <w:pPr>
              <w:adjustRightInd w:val="0"/>
              <w:snapToGrid w:val="0"/>
              <w:spacing w:line="276" w:lineRule="auto"/>
              <w:ind w:firstLine="630" w:firstLineChars="300"/>
              <w:rPr>
                <w:rFonts w:hint="eastAsia" w:eastAsia="宋体"/>
                <w:color w:val="auto"/>
                <w:szCs w:val="21"/>
                <w:lang w:val="en-US" w:eastAsia="zh-CN"/>
              </w:rPr>
            </w:pPr>
            <w:r>
              <w:rPr>
                <w:rFonts w:hint="eastAsia"/>
                <w:color w:val="auto"/>
                <w:szCs w:val="21"/>
                <w:lang w:val="en-US" w:eastAsia="zh-CN"/>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5D0D2E35">
            <w:pPr>
              <w:widowControl w:val="0"/>
              <w:numPr>
                <w:ilvl w:val="0"/>
                <w:numId w:val="3"/>
              </w:numPr>
              <w:adjustRightInd w:val="0"/>
              <w:snapToGrid w:val="0"/>
              <w:spacing w:line="276" w:lineRule="auto"/>
              <w:jc w:val="both"/>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肖卫：《劳动力流动过程中中国城乡区域经济格局演进研究》，湖南省委、省政府，湖南省第十二届哲学社会科学优秀成果奖，二等奖，2015</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计200分；</w:t>
            </w:r>
          </w:p>
          <w:p w14:paraId="36D9080E">
            <w:pPr>
              <w:widowControl w:val="0"/>
              <w:numPr>
                <w:ilvl w:val="0"/>
                <w:numId w:val="3"/>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《有限理性、契约与集体行动——中国农民合作的产生与效率研究》，湖南省人民政府，2014年湖南省优秀博士论文奖，2014</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计200分；</w:t>
            </w:r>
          </w:p>
          <w:p w14:paraId="45BB3DE0">
            <w:pPr>
              <w:widowControl w:val="0"/>
              <w:numPr>
                <w:ilvl w:val="0"/>
                <w:numId w:val="3"/>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w:t>
            </w:r>
            <w:r>
              <w:rPr>
                <w:rFonts w:hint="eastAsia"/>
                <w:color w:val="000000" w:themeColor="text1"/>
                <w:szCs w:val="21"/>
                <w:lang w:val="en-US" w:eastAsia="zh-CN"/>
                <w14:textFill>
                  <w14:solidFill>
                    <w14:schemeClr w14:val="tx1"/>
                  </w14:solidFill>
                </w14:textFill>
              </w:rPr>
              <w:t>《对新时代我省民营经济统战工作的思考》，湖南省委统战部，获得2020年湖南省委统战部年度理论研究成果奖，一等奖，计80分；</w:t>
            </w:r>
          </w:p>
          <w:p w14:paraId="2ED7B5E3">
            <w:pPr>
              <w:widowControl w:val="0"/>
              <w:numPr>
                <w:ilvl w:val="0"/>
                <w:numId w:val="3"/>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w:t>
            </w:r>
            <w:r>
              <w:rPr>
                <w:rFonts w:hint="eastAsia"/>
                <w:color w:val="000000" w:themeColor="text1"/>
                <w:szCs w:val="21"/>
                <w:lang w:val="en-US" w:eastAsia="zh-CN"/>
                <w14:textFill>
                  <w14:solidFill>
                    <w14:schemeClr w14:val="tx1"/>
                  </w14:solidFill>
                </w14:textFill>
              </w:rPr>
              <w:t>《《农民大学生培养计划赋能乡村振兴——基于湖南的案例分析》》，国家开放大学/湖南开放大学，获得2024年国家开放大学优秀成果奖，省开大特等奖，计15分。</w:t>
            </w:r>
          </w:p>
        </w:tc>
        <w:tc>
          <w:tcPr>
            <w:tcW w:w="1200" w:type="dxa"/>
            <w:vAlign w:val="center"/>
          </w:tcPr>
          <w:p w14:paraId="30B56F5B">
            <w:pPr>
              <w:adjustRightInd w:val="0"/>
              <w:snapToGrid w:val="0"/>
              <w:spacing w:line="276" w:lineRule="auto"/>
              <w:jc w:val="center"/>
              <w:rPr>
                <w:rFonts w:hint="default" w:eastAsia="宋体"/>
                <w:szCs w:val="21"/>
                <w:lang w:val="en-US" w:eastAsia="zh-CN"/>
              </w:rPr>
            </w:pPr>
            <w:r>
              <w:rPr>
                <w:rFonts w:hint="eastAsia"/>
                <w:szCs w:val="21"/>
                <w:lang w:val="en-US" w:eastAsia="zh-CN"/>
              </w:rPr>
              <w:t>495</w:t>
            </w:r>
          </w:p>
        </w:tc>
        <w:tc>
          <w:tcPr>
            <w:tcW w:w="1274" w:type="dxa"/>
            <w:vAlign w:val="center"/>
          </w:tcPr>
          <w:p w14:paraId="3993CEE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350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23BB3C7C">
            <w:pPr>
              <w:widowControl w:val="0"/>
              <w:numPr>
                <w:ilvl w:val="0"/>
                <w:numId w:val="0"/>
              </w:numPr>
              <w:adjustRightInd w:val="0"/>
              <w:snapToGrid w:val="0"/>
              <w:spacing w:line="276" w:lineRule="auto"/>
              <w:ind w:firstLine="630" w:firstLineChars="300"/>
              <w:jc w:val="both"/>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59989A2D">
            <w:pPr>
              <w:numPr>
                <w:ilvl w:val="0"/>
                <w:numId w:val="4"/>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肖卫，</w:t>
            </w:r>
            <w:r>
              <w:rPr>
                <w:rFonts w:hint="eastAsia"/>
                <w:kern w:val="0"/>
                <w:szCs w:val="21"/>
                <w:lang w:eastAsia="zh-CN"/>
              </w:rPr>
              <w:t>《</w:t>
            </w:r>
            <w:r>
              <w:rPr>
                <w:rFonts w:hint="eastAsia"/>
                <w:kern w:val="0"/>
                <w:szCs w:val="21"/>
              </w:rPr>
              <w:t>抢抓历史机遇  建设种业强省——关于我省实施种业振兴行动的调研与思考</w:t>
            </w:r>
            <w:r>
              <w:rPr>
                <w:rFonts w:hint="eastAsia"/>
                <w:kern w:val="0"/>
                <w:szCs w:val="21"/>
                <w:lang w:eastAsia="zh-CN"/>
              </w:rPr>
              <w:t>》</w:t>
            </w:r>
            <w:r>
              <w:rPr>
                <w:rFonts w:hint="eastAsia"/>
                <w:color w:val="000000" w:themeColor="text1"/>
                <w:szCs w:val="21"/>
                <w:lang w:val="en-US" w:eastAsia="zh-CN"/>
                <w14:textFill>
                  <w14:solidFill>
                    <w14:schemeClr w14:val="tx1"/>
                  </w14:solidFill>
                </w14:textFill>
              </w:rPr>
              <w:t>获得正省级领导批示，2022年3月，计150分；</w:t>
            </w:r>
          </w:p>
          <w:p w14:paraId="100C5D51">
            <w:pPr>
              <w:numPr>
                <w:ilvl w:val="0"/>
                <w:numId w:val="4"/>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肖卫等，《打造改革新名片，优化核心增长极——关于赋予长沙县更大改革与发展权限的建议》，获得时任正省级领导批示， 2013年5月17日，计150分；</w:t>
            </w:r>
          </w:p>
          <w:p w14:paraId="57DEF07B">
            <w:pPr>
              <w:numPr>
                <w:ilvl w:val="0"/>
                <w:numId w:val="4"/>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肖卫等，《山区农业农村现代化道路的实践探索——怀化经验、现实困境与政策建议》，获得正省级领导批示，2025年2月，计150分；</w:t>
            </w:r>
          </w:p>
          <w:p w14:paraId="73195BAA">
            <w:pPr>
              <w:numPr>
                <w:ilvl w:val="0"/>
                <w:numId w:val="4"/>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肖卫等，《关于我省率先“破解村级集体经济发展难题”的“五点认识”和“三点建议”》，获得时任正省级领导等领导批示，2013年5月26日，计150分；</w:t>
            </w:r>
          </w:p>
          <w:p w14:paraId="0E4E2EED">
            <w:pPr>
              <w:numPr>
                <w:ilvl w:val="0"/>
                <w:numId w:val="4"/>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肖卫，《推进军技民用，做大北斗产业：实现我省新一代信息产业新突破》，获得时任正省级领导等领导批示，被湖南省国防科工局采纳，2010年，计150分；</w:t>
            </w:r>
          </w:p>
          <w:p w14:paraId="40775F7A">
            <w:pPr>
              <w:numPr>
                <w:ilvl w:val="0"/>
                <w:numId w:val="4"/>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肖卫等，《打造“石墨烯+”产业集群，引领千亿级产业崛起》，获得时任副省级领导批示，2016年9月，计150分；</w:t>
            </w:r>
          </w:p>
          <w:p w14:paraId="66A1DEDF">
            <w:pPr>
              <w:numPr>
                <w:ilvl w:val="0"/>
                <w:numId w:val="4"/>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肖卫等，《</w:t>
            </w:r>
            <w:r>
              <w:rPr>
                <w:rFonts w:hint="eastAsia"/>
                <w:kern w:val="0"/>
                <w:szCs w:val="21"/>
                <w:lang w:eastAsia="zh-CN"/>
              </w:rPr>
              <w:t>“十五五”期间全面提升衡阳省域副中心能级的建议</w:t>
            </w:r>
            <w:r>
              <w:rPr>
                <w:rFonts w:hint="eastAsia"/>
                <w:color w:val="000000" w:themeColor="text1"/>
                <w:szCs w:val="21"/>
                <w:lang w:val="en-US" w:eastAsia="zh-CN"/>
                <w14:textFill>
                  <w14:solidFill>
                    <w14:schemeClr w14:val="tx1"/>
                  </w14:solidFill>
                </w14:textFill>
              </w:rPr>
              <w:t>》，获得时任副省级领导批示，2025年8月，计150分。</w:t>
            </w:r>
          </w:p>
        </w:tc>
        <w:tc>
          <w:tcPr>
            <w:tcW w:w="1200" w:type="dxa"/>
            <w:vAlign w:val="center"/>
          </w:tcPr>
          <w:p w14:paraId="32216470">
            <w:pPr>
              <w:adjustRightInd w:val="0"/>
              <w:snapToGrid w:val="0"/>
              <w:spacing w:line="276" w:lineRule="auto"/>
              <w:jc w:val="center"/>
              <w:rPr>
                <w:rFonts w:hint="default" w:eastAsia="宋体"/>
                <w:szCs w:val="21"/>
                <w:lang w:val="en-US" w:eastAsia="zh-CN"/>
              </w:rPr>
            </w:pPr>
            <w:r>
              <w:rPr>
                <w:rFonts w:hint="eastAsia"/>
                <w:szCs w:val="21"/>
                <w:lang w:val="en-US" w:eastAsia="zh-CN"/>
              </w:rPr>
              <w:t>1050</w:t>
            </w:r>
          </w:p>
        </w:tc>
        <w:tc>
          <w:tcPr>
            <w:tcW w:w="1274" w:type="dxa"/>
            <w:vAlign w:val="center"/>
          </w:tcPr>
          <w:p w14:paraId="3D28B72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450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adjustRightInd w:val="0"/>
              <w:snapToGrid w:val="0"/>
              <w:spacing w:line="276" w:lineRule="auto"/>
              <w:ind w:firstLine="630" w:firstLineChars="300"/>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36EBC1B8">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[1]肖卫：《中国劳动力城乡流动、人力资源优化配置与经济增长》，《中国人口科学》2013年第1期：77-88（CSSCI来源期刊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w:t>
            </w:r>
          </w:p>
          <w:p w14:paraId="11D06A8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[2]肖卫：《二元经济中农业技术进步、粮食增产与农民增收：来自中国2001-2010省级面板数据的证据》，《中国农村经济》2013年第6期：1－12（CSSCI来源期刊</w:t>
            </w:r>
            <w:r>
              <w:rPr>
                <w:rFonts w:hint="eastAsia"/>
                <w:color w:val="000000" w:themeColor="text1"/>
                <w:szCs w:val="21"/>
                <w:lang w:eastAsia="zh-CN"/>
                <w14:textFill>
                  <w14:solidFill>
                    <w14:schemeClr w14:val="tx1"/>
                  </w14:solidFill>
                </w14:textFill>
              </w:rPr>
              <w:t>）。</w:t>
            </w:r>
            <w:bookmarkStart w:id="4" w:name="_GoBack"/>
            <w:bookmarkEnd w:id="4"/>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rPr>
          <w:rFonts w:hint="eastAsia" w:eastAsia="宋体"/>
          <w:lang w:val="en-US" w:eastAsia="zh-CN"/>
        </w:rPr>
      </w:pPr>
      <w:r>
        <w:rPr>
          <w:rFonts w:hint="eastAsia"/>
          <w:lang w:val="en-US" w:eastAsia="zh-CN"/>
        </w:rPr>
        <w:t xml:space="preserve"> </w:t>
      </w:r>
    </w:p>
    <w:p w14:paraId="12B2EF2D">
      <w:pPr>
        <w:spacing w:line="280" w:lineRule="exact"/>
        <w:jc w:val="both"/>
        <w:rPr>
          <w:color w:val="FF0000"/>
        </w:rPr>
      </w:pPr>
      <w:r>
        <w:rPr>
          <w:rFonts w:hint="eastAsia"/>
        </w:rPr>
        <w:t>承诺人签名：</w:t>
      </w:r>
      <w:r>
        <w:rPr>
          <w:rFonts w:hint="eastAsia"/>
          <w:lang w:val="en-US" w:eastAsia="zh-CN"/>
        </w:rPr>
        <w:t xml:space="preserve">                2025</w:t>
      </w:r>
      <w:r>
        <w:rPr>
          <w:rFonts w:hint="eastAsia"/>
        </w:rPr>
        <w:t>年</w:t>
      </w:r>
      <w:r>
        <w:rPr>
          <w:rFonts w:hint="eastAsia"/>
          <w:lang w:val="en-US" w:eastAsia="zh-CN"/>
        </w:rPr>
        <w:t>9</w:t>
      </w:r>
      <w:r>
        <w:rPr>
          <w:rFonts w:hint="eastAsia"/>
        </w:rPr>
        <w:t>月</w:t>
      </w:r>
      <w:r>
        <w:rPr>
          <w:rFonts w:hint="eastAsia"/>
          <w:lang w:val="en-US" w:eastAsia="zh-CN"/>
        </w:rPr>
        <w:t>1</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2025</w:t>
      </w:r>
      <w:r>
        <w:rPr>
          <w:rFonts w:hint="eastAsia"/>
        </w:rPr>
        <w:t>年</w:t>
      </w:r>
      <w:r>
        <w:rPr>
          <w:rFonts w:hint="eastAsia"/>
          <w:lang w:val="en-US" w:eastAsia="zh-CN"/>
        </w:rPr>
        <w:t>9</w:t>
      </w:r>
      <w:r>
        <w:rPr>
          <w:rFonts w:hint="eastAsia"/>
        </w:rPr>
        <w:t>月</w:t>
      </w:r>
      <w:r>
        <w:rPr>
          <w:rFonts w:hint="eastAsia"/>
          <w:lang w:val="en-US" w:eastAsia="zh-CN"/>
        </w:rPr>
        <w:t>1</w:t>
      </w:r>
      <w:r>
        <w:rPr>
          <w:rFonts w:hint="eastAsia"/>
        </w:rPr>
        <w:t>日</w:t>
      </w:r>
      <w:r>
        <w:rPr>
          <w:rFonts w:hint="eastAsia"/>
          <w:lang w:val="en-US" w:eastAsia="zh-CN"/>
        </w:rPr>
        <w:t xml:space="preserve">  </w:t>
      </w:r>
      <w:r>
        <w:rPr>
          <w:rFonts w:hint="eastAsia"/>
        </w:rPr>
        <w:t>至</w:t>
      </w:r>
      <w:r>
        <w:rPr>
          <w:rFonts w:hint="eastAsia"/>
          <w:lang w:val="en-US" w:eastAsia="zh-CN"/>
        </w:rPr>
        <w:t xml:space="preserve">  9</w:t>
      </w:r>
      <w:r>
        <w:rPr>
          <w:rFonts w:hint="eastAsia"/>
        </w:rPr>
        <w:t>月</w:t>
      </w:r>
      <w:r>
        <w:rPr>
          <w:rFonts w:hint="eastAsia"/>
          <w:lang w:val="en-US" w:eastAsia="zh-CN"/>
        </w:rPr>
        <w:t>5</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EFA686C0-939A-4C6B-A03E-E10D6EFF42A4}"/>
  </w:font>
  <w:font w:name="方正小标宋简体">
    <w:panose1 w:val="02000000000000000000"/>
    <w:charset w:val="86"/>
    <w:family w:val="auto"/>
    <w:pitch w:val="default"/>
    <w:sig w:usb0="00000001" w:usb1="08000000" w:usb2="00000000" w:usb3="00000000" w:csb0="00040000" w:csb1="00000000"/>
    <w:embedRegular r:id="rId2" w:fontKey="{A6EA3672-65FD-445F-9AB0-381CA17B90C0}"/>
  </w:font>
  <w:font w:name="方正书宋简体">
    <w:altName w:val="宋体"/>
    <w:panose1 w:val="00000000000000000000"/>
    <w:charset w:val="86"/>
    <w:family w:val="script"/>
    <w:pitch w:val="default"/>
    <w:sig w:usb0="00000000" w:usb1="00000000" w:usb2="00000010" w:usb3="00000000" w:csb0="00040000" w:csb1="00000000"/>
    <w:embedRegular r:id="rId3" w:fontKey="{B6AA9860-1AA4-42DD-AC79-3A8FD5CD956C}"/>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DCFEBD"/>
    <w:multiLevelType w:val="singleLevel"/>
    <w:tmpl w:val="B4DCFEBD"/>
    <w:lvl w:ilvl="0" w:tentative="0">
      <w:start w:val="1"/>
      <w:numFmt w:val="decimal"/>
      <w:lvlText w:val="[%1]"/>
      <w:lvlJc w:val="left"/>
      <w:pPr>
        <w:tabs>
          <w:tab w:val="left" w:pos="312"/>
        </w:tabs>
      </w:pPr>
    </w:lvl>
  </w:abstractNum>
  <w:abstractNum w:abstractNumId="1">
    <w:nsid w:val="E8BA66CC"/>
    <w:multiLevelType w:val="singleLevel"/>
    <w:tmpl w:val="E8BA66CC"/>
    <w:lvl w:ilvl="0" w:tentative="0">
      <w:start w:val="1"/>
      <w:numFmt w:val="decimal"/>
      <w:lvlText w:val="[%1]"/>
      <w:lvlJc w:val="left"/>
      <w:pPr>
        <w:tabs>
          <w:tab w:val="left" w:pos="312"/>
        </w:tabs>
      </w:pPr>
    </w:lvl>
  </w:abstractNum>
  <w:abstractNum w:abstractNumId="2">
    <w:nsid w:val="3ECB83D0"/>
    <w:multiLevelType w:val="singleLevel"/>
    <w:tmpl w:val="3ECB83D0"/>
    <w:lvl w:ilvl="0" w:tentative="0">
      <w:start w:val="1"/>
      <w:numFmt w:val="decimal"/>
      <w:lvlText w:val="[%1]"/>
      <w:lvlJc w:val="left"/>
      <w:pPr>
        <w:tabs>
          <w:tab w:val="left" w:pos="312"/>
        </w:tabs>
      </w:pPr>
    </w:lvl>
  </w:abstractNum>
  <w:abstractNum w:abstractNumId="3">
    <w:nsid w:val="55C774B9"/>
    <w:multiLevelType w:val="singleLevel"/>
    <w:tmpl w:val="55C774B9"/>
    <w:lvl w:ilvl="0" w:tentative="0">
      <w:start w:val="1"/>
      <w:numFmt w:val="decimal"/>
      <w:lvlText w:val="[%1]"/>
      <w:lvlJc w:val="left"/>
      <w:pPr>
        <w:tabs>
          <w:tab w:val="left" w:pos="312"/>
        </w:tabs>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4E2F"/>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90554D"/>
    <w:rsid w:val="06AA71FC"/>
    <w:rsid w:val="0B215C0C"/>
    <w:rsid w:val="0B765D27"/>
    <w:rsid w:val="0B826B70"/>
    <w:rsid w:val="0CA42D4A"/>
    <w:rsid w:val="120310A6"/>
    <w:rsid w:val="12CD1124"/>
    <w:rsid w:val="130D38B5"/>
    <w:rsid w:val="15331020"/>
    <w:rsid w:val="15DE6CEC"/>
    <w:rsid w:val="194E1C0A"/>
    <w:rsid w:val="1A352CAC"/>
    <w:rsid w:val="1E446A54"/>
    <w:rsid w:val="23C2284B"/>
    <w:rsid w:val="25B2301B"/>
    <w:rsid w:val="281D7F89"/>
    <w:rsid w:val="2A756869"/>
    <w:rsid w:val="2A772858"/>
    <w:rsid w:val="2BE9306B"/>
    <w:rsid w:val="2C852B16"/>
    <w:rsid w:val="2F611AB1"/>
    <w:rsid w:val="32C7393F"/>
    <w:rsid w:val="356E3940"/>
    <w:rsid w:val="37A63C2C"/>
    <w:rsid w:val="3A534922"/>
    <w:rsid w:val="3C8658C1"/>
    <w:rsid w:val="3CCC7B00"/>
    <w:rsid w:val="3E104D62"/>
    <w:rsid w:val="3EB61481"/>
    <w:rsid w:val="3F3DCAAD"/>
    <w:rsid w:val="40DB2C76"/>
    <w:rsid w:val="430074C9"/>
    <w:rsid w:val="44621D74"/>
    <w:rsid w:val="458D6C93"/>
    <w:rsid w:val="45AF476D"/>
    <w:rsid w:val="46131156"/>
    <w:rsid w:val="46BA3062"/>
    <w:rsid w:val="48023A9D"/>
    <w:rsid w:val="49075601"/>
    <w:rsid w:val="4D534390"/>
    <w:rsid w:val="4F8C6B6C"/>
    <w:rsid w:val="4FC72393"/>
    <w:rsid w:val="507E3975"/>
    <w:rsid w:val="5084660D"/>
    <w:rsid w:val="51C54601"/>
    <w:rsid w:val="54380D30"/>
    <w:rsid w:val="565F6965"/>
    <w:rsid w:val="580C6F3F"/>
    <w:rsid w:val="5A03474D"/>
    <w:rsid w:val="5A243D5C"/>
    <w:rsid w:val="5A706D61"/>
    <w:rsid w:val="6093187E"/>
    <w:rsid w:val="66D439F4"/>
    <w:rsid w:val="670026AE"/>
    <w:rsid w:val="67DC0040"/>
    <w:rsid w:val="68FF2989"/>
    <w:rsid w:val="692C1CFA"/>
    <w:rsid w:val="6AB74057"/>
    <w:rsid w:val="6AEE5503"/>
    <w:rsid w:val="6D3708B5"/>
    <w:rsid w:val="6E7FD857"/>
    <w:rsid w:val="70A72174"/>
    <w:rsid w:val="72983E61"/>
    <w:rsid w:val="734114B8"/>
    <w:rsid w:val="7463267F"/>
    <w:rsid w:val="778046A0"/>
    <w:rsid w:val="77C756F2"/>
    <w:rsid w:val="7B035A61"/>
    <w:rsid w:val="7BBD19AB"/>
    <w:rsid w:val="7DDB4DC4"/>
    <w:rsid w:val="7F313C82"/>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5409</Words>
  <Characters>6341</Characters>
  <Lines>30</Lines>
  <Paragraphs>8</Paragraphs>
  <TotalTime>6</TotalTime>
  <ScaleCrop>false</ScaleCrop>
  <LinksUpToDate>false</LinksUpToDate>
  <CharactersWithSpaces>6481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2025-10-17T10:53:25Z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6D7F312AC48F4641A05D0AED54C69020_13</vt:lpwstr>
  </property>
  <property fmtid="{D5CDD505-2E9C-101B-9397-08002B2CF9AE}" pid="4" name="KSOTemplateDocerSaveRecord">
    <vt:lpwstr>eyJoZGlkIjoiMmEwNTI4MDkzNTczZGYyZGVhNmFjNjQ1MjY0MWMwZDMiLCJ1c2VySWQiOiIyOTI0NjM5In0=</vt:lpwstr>
  </property>
</Properties>
</file>